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E6D6" w14:textId="3220369F" w:rsidR="00E203C2" w:rsidRDefault="00E203C2" w:rsidP="00E203C2">
      <w:r>
        <w:rPr>
          <w:noProof/>
          <w:lang w:eastAsia="en-GB" w:bidi="ar-SA"/>
        </w:rPr>
        <w:drawing>
          <wp:inline distT="0" distB="0" distL="0" distR="0" wp14:anchorId="14B64F10" wp14:editId="18DC3C8B">
            <wp:extent cx="3488400" cy="612000"/>
            <wp:effectExtent l="0" t="0" r="0" b="0"/>
            <wp:docPr id="3" name="Picture 3"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CD886C4" w14:textId="77777777" w:rsidR="00E203C2" w:rsidRPr="00801521" w:rsidRDefault="00E203C2" w:rsidP="00E203C2"/>
    <w:p w14:paraId="79B70409" w14:textId="17769B8E" w:rsidR="00BA24E2" w:rsidRPr="00801521" w:rsidRDefault="00801521" w:rsidP="00BA24E2">
      <w:pPr>
        <w:rPr>
          <w:b/>
          <w:sz w:val="28"/>
          <w:szCs w:val="28"/>
        </w:rPr>
      </w:pPr>
      <w:r w:rsidRPr="00801521">
        <w:rPr>
          <w:b/>
          <w:sz w:val="28"/>
          <w:szCs w:val="28"/>
        </w:rPr>
        <w:t>14 October 2022</w:t>
      </w:r>
    </w:p>
    <w:p w14:paraId="7D22D09E" w14:textId="197DAE7A" w:rsidR="00BA24E2" w:rsidRPr="00801521" w:rsidRDefault="00801521" w:rsidP="00BA24E2">
      <w:pPr>
        <w:rPr>
          <w:b/>
          <w:sz w:val="28"/>
          <w:szCs w:val="28"/>
        </w:rPr>
      </w:pPr>
      <w:r w:rsidRPr="00801521">
        <w:rPr>
          <w:b/>
          <w:sz w:val="28"/>
          <w:szCs w:val="28"/>
        </w:rPr>
        <w:t>217-22</w:t>
      </w:r>
    </w:p>
    <w:p w14:paraId="3BAA2746" w14:textId="77777777" w:rsidR="00BA24E2" w:rsidRDefault="00BA24E2" w:rsidP="00E203C2"/>
    <w:p w14:paraId="09B1753C" w14:textId="125A985A" w:rsidR="00D056F1" w:rsidRPr="00FC0B8D" w:rsidRDefault="000427B2" w:rsidP="002432EE">
      <w:pPr>
        <w:pStyle w:val="FSTitle"/>
        <w:rPr>
          <w:b/>
        </w:rPr>
      </w:pPr>
      <w:r w:rsidRPr="00FC0B8D">
        <w:rPr>
          <w:b/>
        </w:rPr>
        <w:t>C</w:t>
      </w:r>
      <w:r w:rsidR="00D8470F" w:rsidRPr="00FC0B8D">
        <w:rPr>
          <w:b/>
        </w:rPr>
        <w:t>all</w:t>
      </w:r>
      <w:r w:rsidRPr="00FC0B8D">
        <w:rPr>
          <w:b/>
        </w:rPr>
        <w:t xml:space="preserve"> </w:t>
      </w:r>
      <w:r w:rsidR="00D8470F" w:rsidRPr="00FC0B8D">
        <w:rPr>
          <w:b/>
        </w:rPr>
        <w:t>for</w:t>
      </w:r>
      <w:r w:rsidRPr="00FC0B8D">
        <w:rPr>
          <w:b/>
        </w:rPr>
        <w:t xml:space="preserve"> </w:t>
      </w:r>
      <w:r w:rsidR="00D8470F" w:rsidRPr="00FC0B8D">
        <w:rPr>
          <w:b/>
        </w:rPr>
        <w:t>submissions</w:t>
      </w:r>
      <w:r w:rsidRPr="00FC0B8D">
        <w:rPr>
          <w:b/>
        </w:rPr>
        <w:t xml:space="preserve"> – </w:t>
      </w:r>
      <w:r w:rsidR="00D056F1" w:rsidRPr="00FC0B8D">
        <w:rPr>
          <w:b/>
        </w:rPr>
        <w:t>A</w:t>
      </w:r>
      <w:r w:rsidR="00A91DF1" w:rsidRPr="00FC0B8D">
        <w:rPr>
          <w:b/>
        </w:rPr>
        <w:t>pplication</w:t>
      </w:r>
      <w:r w:rsidR="00D056F1" w:rsidRPr="00FC0B8D">
        <w:rPr>
          <w:b/>
        </w:rPr>
        <w:t xml:space="preserve"> A</w:t>
      </w:r>
      <w:r w:rsidR="008714FB" w:rsidRPr="00FC0B8D">
        <w:rPr>
          <w:b/>
        </w:rPr>
        <w:t>1255</w:t>
      </w:r>
    </w:p>
    <w:p w14:paraId="2813A515" w14:textId="77777777" w:rsidR="00FC0B8D" w:rsidRPr="00FC0B8D" w:rsidRDefault="00FC0B8D" w:rsidP="00FC0B8D">
      <w:pPr>
        <w:pBdr>
          <w:bottom w:val="single" w:sz="12" w:space="1" w:color="auto"/>
        </w:pBdr>
        <w:spacing w:line="280" w:lineRule="exact"/>
        <w:rPr>
          <w:rFonts w:cs="Tahoma"/>
          <w:bCs/>
          <w:sz w:val="32"/>
        </w:rPr>
      </w:pPr>
      <w:r w:rsidRPr="00FC0B8D">
        <w:rPr>
          <w:rFonts w:cs="Tahoma"/>
          <w:bCs/>
          <w:sz w:val="32"/>
        </w:rPr>
        <w:t xml:space="preserve">Alpha-amylase from GM </w:t>
      </w:r>
      <w:r w:rsidRPr="00FC0B8D">
        <w:rPr>
          <w:rFonts w:cs="Tahoma"/>
          <w:bCs/>
          <w:i/>
          <w:sz w:val="32"/>
        </w:rPr>
        <w:t>Bacillus subtilis</w:t>
      </w:r>
      <w:r w:rsidRPr="00FC0B8D">
        <w:rPr>
          <w:rFonts w:cs="Tahoma"/>
          <w:bCs/>
          <w:sz w:val="32"/>
        </w:rPr>
        <w:t xml:space="preserve"> as a processing aid</w:t>
      </w:r>
    </w:p>
    <w:p w14:paraId="7B072B0D" w14:textId="25E19276" w:rsidR="00E063C6" w:rsidRPr="00E76118" w:rsidRDefault="00E063C6" w:rsidP="00E203C2">
      <w:pPr>
        <w:rPr>
          <w:sz w:val="20"/>
          <w:szCs w:val="20"/>
        </w:rPr>
      </w:pPr>
      <w:r w:rsidRPr="00E76118">
        <w:rPr>
          <w:sz w:val="20"/>
          <w:szCs w:val="20"/>
        </w:rPr>
        <w:t xml:space="preserve">FSANZ </w:t>
      </w:r>
      <w:r w:rsidR="00D81D38" w:rsidRPr="00E76118">
        <w:rPr>
          <w:sz w:val="20"/>
          <w:szCs w:val="20"/>
        </w:rPr>
        <w:t xml:space="preserve">has assessed an </w:t>
      </w:r>
      <w:r w:rsidR="000A7AA5">
        <w:rPr>
          <w:sz w:val="20"/>
          <w:szCs w:val="20"/>
        </w:rPr>
        <w:t>a</w:t>
      </w:r>
      <w:r w:rsidR="00351B07" w:rsidRPr="00E76118">
        <w:rPr>
          <w:sz w:val="20"/>
          <w:szCs w:val="20"/>
        </w:rPr>
        <w:t xml:space="preserve">pplication made by </w:t>
      </w:r>
      <w:r w:rsidR="00E76118" w:rsidRPr="00E76118">
        <w:rPr>
          <w:sz w:val="20"/>
          <w:szCs w:val="20"/>
        </w:rPr>
        <w:t>AB Enzymes GmbH</w:t>
      </w:r>
      <w:r w:rsidR="00351B07" w:rsidRPr="00E76118">
        <w:rPr>
          <w:sz w:val="20"/>
          <w:szCs w:val="20"/>
        </w:rPr>
        <w:t xml:space="preserve"> </w:t>
      </w:r>
      <w:r w:rsidR="007C174F" w:rsidRPr="00E76118">
        <w:rPr>
          <w:sz w:val="20"/>
          <w:szCs w:val="20"/>
        </w:rPr>
        <w:t>to</w:t>
      </w:r>
      <w:r w:rsidR="00351B07" w:rsidRPr="00E76118">
        <w:rPr>
          <w:sz w:val="20"/>
          <w:szCs w:val="20"/>
        </w:rPr>
        <w:t xml:space="preserve"> </w:t>
      </w:r>
      <w:r w:rsidR="00E76118" w:rsidRPr="00E76118">
        <w:rPr>
          <w:sz w:val="20"/>
          <w:szCs w:val="20"/>
        </w:rPr>
        <w:t xml:space="preserve">permit the use of the enzyme alpha-amylase (EC 3.2.1.1) as a processing aid in </w:t>
      </w:r>
      <w:r w:rsidR="008A27A0">
        <w:rPr>
          <w:sz w:val="20"/>
          <w:szCs w:val="20"/>
        </w:rPr>
        <w:t xml:space="preserve">the manufacture of </w:t>
      </w:r>
      <w:r w:rsidR="00E76118" w:rsidRPr="00E76118">
        <w:rPr>
          <w:sz w:val="20"/>
          <w:szCs w:val="20"/>
        </w:rPr>
        <w:t>bakery products such as bread, steamed bread, bread buns, tortillas, cakes, pancakes, and waffles</w:t>
      </w:r>
      <w:r w:rsidR="00AA58C9">
        <w:rPr>
          <w:sz w:val="20"/>
          <w:szCs w:val="20"/>
        </w:rPr>
        <w:t>. FSANZ</w:t>
      </w:r>
      <w:r w:rsidR="00413CA8" w:rsidRPr="00E76118">
        <w:rPr>
          <w:sz w:val="20"/>
          <w:szCs w:val="20"/>
        </w:rPr>
        <w:t xml:space="preserve"> has prepared a draft </w:t>
      </w:r>
      <w:r w:rsidR="00D8470F" w:rsidRPr="00E76118">
        <w:rPr>
          <w:sz w:val="20"/>
          <w:szCs w:val="20"/>
        </w:rPr>
        <w:t>food regulatory measure</w:t>
      </w:r>
      <w:r w:rsidR="00351B07" w:rsidRPr="00E76118">
        <w:rPr>
          <w:sz w:val="20"/>
          <w:szCs w:val="20"/>
        </w:rPr>
        <w:t xml:space="preserve">. </w:t>
      </w:r>
      <w:r w:rsidR="00D22F3C" w:rsidRPr="00E76118">
        <w:rPr>
          <w:sz w:val="20"/>
          <w:szCs w:val="20"/>
        </w:rPr>
        <w:t xml:space="preserve">Pursuant to section 31 of the </w:t>
      </w:r>
      <w:r w:rsidR="00D22F3C" w:rsidRPr="00E76118">
        <w:rPr>
          <w:i/>
          <w:sz w:val="20"/>
          <w:szCs w:val="20"/>
        </w:rPr>
        <w:t>Food Standard</w:t>
      </w:r>
      <w:r w:rsidR="00E203C2" w:rsidRPr="00E76118">
        <w:rPr>
          <w:i/>
          <w:sz w:val="20"/>
          <w:szCs w:val="20"/>
        </w:rPr>
        <w:t>s Australia New Zealand Act 1991</w:t>
      </w:r>
      <w:r w:rsidR="00D22F3C" w:rsidRPr="00E76118">
        <w:rPr>
          <w:i/>
          <w:sz w:val="20"/>
          <w:szCs w:val="20"/>
        </w:rPr>
        <w:t xml:space="preserve"> </w:t>
      </w:r>
      <w:r w:rsidR="00E203C2" w:rsidRPr="00E76118">
        <w:rPr>
          <w:sz w:val="20"/>
          <w:szCs w:val="20"/>
        </w:rPr>
        <w:t>(</w:t>
      </w:r>
      <w:r w:rsidR="00D22F3C" w:rsidRPr="00E76118">
        <w:rPr>
          <w:sz w:val="20"/>
          <w:szCs w:val="20"/>
        </w:rPr>
        <w:t>FSANZ Act), FSANZ now c</w:t>
      </w:r>
      <w:r w:rsidR="00E203C2" w:rsidRPr="00E76118">
        <w:rPr>
          <w:sz w:val="20"/>
          <w:szCs w:val="20"/>
        </w:rPr>
        <w:t xml:space="preserve">alls for submissions to assist consideration of the </w:t>
      </w:r>
      <w:r w:rsidR="00413CA8" w:rsidRPr="00E76118">
        <w:rPr>
          <w:sz w:val="20"/>
          <w:szCs w:val="20"/>
        </w:rPr>
        <w:t xml:space="preserve">draft </w:t>
      </w:r>
      <w:r w:rsidR="00D8470F" w:rsidRPr="00E76118">
        <w:rPr>
          <w:sz w:val="20"/>
          <w:szCs w:val="20"/>
        </w:rPr>
        <w:t>food regulatory measure</w:t>
      </w:r>
      <w:r w:rsidR="00D22F3C" w:rsidRPr="00E76118">
        <w:rPr>
          <w:sz w:val="20"/>
          <w:szCs w:val="20"/>
        </w:rPr>
        <w:t>.</w:t>
      </w:r>
    </w:p>
    <w:p w14:paraId="06ED95C5"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41437FB6"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3F7FB56E"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7BD684FB"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165AF88A"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00144B46">
        <w:rPr>
          <w:color w:val="000000"/>
          <w:sz w:val="20"/>
          <w:szCs w:val="20"/>
          <w:lang w:val="en-AU"/>
        </w:rPr>
        <w:t>by</w:t>
      </w:r>
      <w:r w:rsidRPr="007C174F">
        <w:rPr>
          <w:color w:val="000000"/>
          <w:sz w:val="20"/>
          <w:szCs w:val="20"/>
          <w:lang w:val="en-AU"/>
        </w:rPr>
        <w:t xml:space="preserve"> email</w:t>
      </w:r>
      <w:r w:rsidR="00144B46">
        <w:rPr>
          <w:color w:val="000000"/>
          <w:sz w:val="20"/>
          <w:szCs w:val="20"/>
          <w:lang w:val="en-AU"/>
        </w:rPr>
        <w:t>ing</w:t>
      </w:r>
      <w:r w:rsidRPr="007C174F">
        <w:rPr>
          <w:color w:val="000000"/>
          <w:sz w:val="20"/>
          <w:szCs w:val="20"/>
          <w:lang w:val="en-AU"/>
        </w:rPr>
        <w:t xml:space="preserve"> your submission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2BE1084F" w14:textId="77777777" w:rsidR="00E063C6" w:rsidRPr="00801521" w:rsidRDefault="00E063C6" w:rsidP="00E203C2">
      <w:pPr>
        <w:rPr>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741AC50" w14:textId="65836415" w:rsidR="00E063C6" w:rsidRPr="00801521" w:rsidRDefault="00E063C6" w:rsidP="00413CA8">
      <w:pPr>
        <w:tabs>
          <w:tab w:val="left" w:pos="7920"/>
        </w:tabs>
        <w:autoSpaceDE w:val="0"/>
        <w:autoSpaceDN w:val="0"/>
        <w:adjustRightInd w:val="0"/>
        <w:jc w:val="center"/>
        <w:rPr>
          <w:rFonts w:cs="Arial"/>
          <w:b/>
          <w:bCs/>
          <w:sz w:val="24"/>
        </w:rPr>
      </w:pPr>
      <w:r w:rsidRPr="00801521">
        <w:rPr>
          <w:rFonts w:cs="Arial"/>
          <w:b/>
          <w:bCs/>
          <w:sz w:val="24"/>
        </w:rPr>
        <w:t>DEADLINE FOR SUBMISSIONS</w:t>
      </w:r>
      <w:r w:rsidRPr="00801521">
        <w:rPr>
          <w:rFonts w:cs="Arial"/>
          <w:b/>
          <w:sz w:val="24"/>
        </w:rPr>
        <w:t xml:space="preserve">:  </w:t>
      </w:r>
      <w:r w:rsidRPr="00801521">
        <w:rPr>
          <w:rFonts w:cs="Arial"/>
          <w:b/>
          <w:bCs/>
          <w:sz w:val="24"/>
        </w:rPr>
        <w:t xml:space="preserve">6pm (Canberra time) </w:t>
      </w:r>
      <w:r w:rsidR="00801521" w:rsidRPr="00801521">
        <w:rPr>
          <w:rFonts w:cs="Arial"/>
          <w:b/>
          <w:bCs/>
          <w:sz w:val="24"/>
        </w:rPr>
        <w:t>25 November 2022</w:t>
      </w:r>
    </w:p>
    <w:p w14:paraId="433AD3F9" w14:textId="77777777" w:rsidR="00E203C2"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2E2CD8D"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8634F03"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21CCB14C" w14:textId="77777777" w:rsidR="00E203C2" w:rsidRPr="007C174F" w:rsidRDefault="00E063C6" w:rsidP="005C30F7">
      <w:pPr>
        <w:tabs>
          <w:tab w:val="left" w:pos="4536"/>
        </w:tabs>
        <w:spacing w:before="0" w:after="0"/>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4BA770B" w14:textId="77777777" w:rsidR="00E203C2" w:rsidRPr="007C174F" w:rsidRDefault="00E063C6" w:rsidP="005C30F7">
      <w:pPr>
        <w:tabs>
          <w:tab w:val="left" w:pos="4536"/>
        </w:tabs>
        <w:spacing w:before="0" w:after="0"/>
        <w:rPr>
          <w:sz w:val="20"/>
          <w:szCs w:val="20"/>
        </w:rPr>
      </w:pPr>
      <w:r w:rsidRPr="007C174F">
        <w:rPr>
          <w:sz w:val="20"/>
          <w:szCs w:val="20"/>
        </w:rPr>
        <w:lastRenderedPageBreak/>
        <w:t xml:space="preserve">PO Box </w:t>
      </w:r>
      <w:r w:rsidR="00685269">
        <w:rPr>
          <w:sz w:val="20"/>
          <w:szCs w:val="20"/>
        </w:rPr>
        <w:t>5423</w:t>
      </w:r>
      <w:r w:rsidRPr="007C174F">
        <w:rPr>
          <w:sz w:val="20"/>
          <w:szCs w:val="20"/>
        </w:rPr>
        <w:tab/>
      </w:r>
      <w:r w:rsidRPr="007C174F">
        <w:rPr>
          <w:sz w:val="20"/>
          <w:szCs w:val="20"/>
        </w:rPr>
        <w:tab/>
        <w:t>PO Box 10559</w:t>
      </w:r>
    </w:p>
    <w:p w14:paraId="4075B0F2" w14:textId="77777777" w:rsidR="00E203C2" w:rsidRPr="007C174F" w:rsidRDefault="00685269" w:rsidP="005C30F7">
      <w:pPr>
        <w:tabs>
          <w:tab w:val="left" w:pos="4536"/>
        </w:tabs>
        <w:spacing w:before="0" w:after="0"/>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7E12067B" w14:textId="77777777" w:rsidR="00E063C6" w:rsidRPr="007C174F" w:rsidRDefault="00E063C6" w:rsidP="005C30F7">
      <w:pPr>
        <w:tabs>
          <w:tab w:val="left" w:pos="4536"/>
        </w:tabs>
        <w:spacing w:before="0" w:after="0"/>
        <w:rPr>
          <w:sz w:val="20"/>
          <w:szCs w:val="20"/>
        </w:rPr>
      </w:pPr>
      <w:r w:rsidRPr="007C174F">
        <w:rPr>
          <w:sz w:val="20"/>
          <w:szCs w:val="20"/>
        </w:rPr>
        <w:t>AUSTRALIA</w:t>
      </w:r>
      <w:r w:rsidRPr="007C174F">
        <w:rPr>
          <w:sz w:val="20"/>
          <w:szCs w:val="20"/>
        </w:rPr>
        <w:tab/>
      </w:r>
      <w:r w:rsidRPr="007C174F">
        <w:rPr>
          <w:sz w:val="20"/>
          <w:szCs w:val="20"/>
        </w:rPr>
        <w:tab/>
        <w:t>NEW ZEALAND</w:t>
      </w:r>
    </w:p>
    <w:p w14:paraId="148FA355" w14:textId="77777777" w:rsidR="00413CA8" w:rsidRDefault="00E063C6" w:rsidP="005C30F7">
      <w:pPr>
        <w:tabs>
          <w:tab w:val="left" w:pos="4536"/>
        </w:tabs>
        <w:spacing w:before="0" w:after="0"/>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579B716" w14:textId="77777777" w:rsidR="00D22F3C" w:rsidRPr="007C174F" w:rsidRDefault="00D22F3C" w:rsidP="00203540">
      <w:pPr>
        <w:tabs>
          <w:tab w:val="left" w:pos="4536"/>
        </w:tabs>
        <w:rPr>
          <w:rFonts w:cs="Arial"/>
          <w:bCs/>
          <w:color w:val="FF0000"/>
          <w:sz w:val="20"/>
          <w:szCs w:val="20"/>
        </w:rPr>
      </w:pPr>
    </w:p>
    <w:p w14:paraId="0971C493" w14:textId="77777777" w:rsidR="00413CA8" w:rsidRDefault="00413CA8" w:rsidP="00E203C2">
      <w:pPr>
        <w:spacing w:line="280" w:lineRule="exact"/>
        <w:jc w:val="center"/>
        <w:rPr>
          <w:rFonts w:cs="Arial"/>
          <w:bCs/>
          <w:sz w:val="28"/>
          <w:szCs w:val="28"/>
        </w:rPr>
        <w:sectPr w:rsidR="00413CA8" w:rsidSect="00B9694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6C8EFF5C"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4E762F5" w14:textId="77777777" w:rsidR="00562917" w:rsidRPr="00AE766D" w:rsidRDefault="00562917" w:rsidP="00051ED9">
      <w:pPr>
        <w:rPr>
          <w:rFonts w:cs="Arial"/>
        </w:rPr>
      </w:pPr>
    </w:p>
    <w:p w14:paraId="2D71D90E" w14:textId="11859440" w:rsidR="006872F2" w:rsidRDefault="00051ED9">
      <w:pPr>
        <w:pStyle w:val="TOC1"/>
        <w:tabs>
          <w:tab w:val="right" w:leader="dot" w:pos="9060"/>
        </w:tabs>
        <w:rPr>
          <w:rFonts w:eastAsiaTheme="minorEastAsia" w:cstheme="minorBidi"/>
          <w:b w:val="0"/>
          <w:bCs w:val="0"/>
          <w:caps w:val="0"/>
          <w:noProof/>
          <w:sz w:val="22"/>
          <w:szCs w:val="22"/>
          <w:lang w:val="en-AU" w:eastAsia="en-AU"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12136690" w:history="1">
        <w:r w:rsidR="006872F2" w:rsidRPr="002852E1">
          <w:rPr>
            <w:rStyle w:val="Hyperlink"/>
            <w:noProof/>
          </w:rPr>
          <w:t>Executive summary</w:t>
        </w:r>
        <w:r w:rsidR="006872F2">
          <w:rPr>
            <w:noProof/>
            <w:webHidden/>
          </w:rPr>
          <w:tab/>
        </w:r>
        <w:r w:rsidR="006872F2">
          <w:rPr>
            <w:noProof/>
            <w:webHidden/>
          </w:rPr>
          <w:fldChar w:fldCharType="begin"/>
        </w:r>
        <w:r w:rsidR="006872F2">
          <w:rPr>
            <w:noProof/>
            <w:webHidden/>
          </w:rPr>
          <w:instrText xml:space="preserve"> PAGEREF _Toc112136690 \h </w:instrText>
        </w:r>
        <w:r w:rsidR="006872F2">
          <w:rPr>
            <w:noProof/>
            <w:webHidden/>
          </w:rPr>
        </w:r>
        <w:r w:rsidR="006872F2">
          <w:rPr>
            <w:noProof/>
            <w:webHidden/>
          </w:rPr>
          <w:fldChar w:fldCharType="separate"/>
        </w:r>
        <w:r w:rsidR="006872F2">
          <w:rPr>
            <w:noProof/>
            <w:webHidden/>
          </w:rPr>
          <w:t>2</w:t>
        </w:r>
        <w:r w:rsidR="006872F2">
          <w:rPr>
            <w:noProof/>
            <w:webHidden/>
          </w:rPr>
          <w:fldChar w:fldCharType="end"/>
        </w:r>
      </w:hyperlink>
    </w:p>
    <w:p w14:paraId="03A0B02D" w14:textId="7DF82610" w:rsidR="006872F2" w:rsidRDefault="002649D1">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2136691" w:history="1">
        <w:r w:rsidR="006872F2" w:rsidRPr="002852E1">
          <w:rPr>
            <w:rStyle w:val="Hyperlink"/>
            <w:noProof/>
          </w:rPr>
          <w:t>1</w:t>
        </w:r>
        <w:r w:rsidR="006872F2">
          <w:rPr>
            <w:rFonts w:eastAsiaTheme="minorEastAsia" w:cstheme="minorBidi"/>
            <w:b w:val="0"/>
            <w:bCs w:val="0"/>
            <w:caps w:val="0"/>
            <w:noProof/>
            <w:sz w:val="22"/>
            <w:szCs w:val="22"/>
            <w:lang w:val="en-AU" w:eastAsia="en-AU" w:bidi="ar-SA"/>
          </w:rPr>
          <w:tab/>
        </w:r>
        <w:r w:rsidR="006872F2" w:rsidRPr="002852E1">
          <w:rPr>
            <w:rStyle w:val="Hyperlink"/>
            <w:noProof/>
          </w:rPr>
          <w:t>Introduction</w:t>
        </w:r>
        <w:r w:rsidR="006872F2">
          <w:rPr>
            <w:noProof/>
            <w:webHidden/>
          </w:rPr>
          <w:tab/>
        </w:r>
        <w:r w:rsidR="006872F2">
          <w:rPr>
            <w:noProof/>
            <w:webHidden/>
          </w:rPr>
          <w:fldChar w:fldCharType="begin"/>
        </w:r>
        <w:r w:rsidR="006872F2">
          <w:rPr>
            <w:noProof/>
            <w:webHidden/>
          </w:rPr>
          <w:instrText xml:space="preserve"> PAGEREF _Toc112136691 \h </w:instrText>
        </w:r>
        <w:r w:rsidR="006872F2">
          <w:rPr>
            <w:noProof/>
            <w:webHidden/>
          </w:rPr>
        </w:r>
        <w:r w:rsidR="006872F2">
          <w:rPr>
            <w:noProof/>
            <w:webHidden/>
          </w:rPr>
          <w:fldChar w:fldCharType="separate"/>
        </w:r>
        <w:r w:rsidR="006872F2">
          <w:rPr>
            <w:noProof/>
            <w:webHidden/>
          </w:rPr>
          <w:t>3</w:t>
        </w:r>
        <w:r w:rsidR="006872F2">
          <w:rPr>
            <w:noProof/>
            <w:webHidden/>
          </w:rPr>
          <w:fldChar w:fldCharType="end"/>
        </w:r>
      </w:hyperlink>
    </w:p>
    <w:p w14:paraId="469369C4" w14:textId="3190CED5" w:rsidR="006872F2" w:rsidRDefault="002649D1">
      <w:pPr>
        <w:pStyle w:val="TOC2"/>
        <w:rPr>
          <w:rFonts w:eastAsiaTheme="minorEastAsia" w:cstheme="minorBidi"/>
          <w:smallCaps w:val="0"/>
          <w:noProof/>
          <w:sz w:val="22"/>
          <w:szCs w:val="22"/>
          <w:lang w:val="en-AU" w:eastAsia="en-AU" w:bidi="ar-SA"/>
        </w:rPr>
      </w:pPr>
      <w:hyperlink w:anchor="_Toc112136692" w:history="1">
        <w:r w:rsidR="006872F2" w:rsidRPr="002852E1">
          <w:rPr>
            <w:rStyle w:val="Hyperlink"/>
            <w:noProof/>
          </w:rPr>
          <w:t>1.1</w:t>
        </w:r>
        <w:r w:rsidR="006872F2">
          <w:rPr>
            <w:rFonts w:eastAsiaTheme="minorEastAsia" w:cstheme="minorBidi"/>
            <w:smallCaps w:val="0"/>
            <w:noProof/>
            <w:sz w:val="22"/>
            <w:szCs w:val="22"/>
            <w:lang w:val="en-AU" w:eastAsia="en-AU" w:bidi="ar-SA"/>
          </w:rPr>
          <w:tab/>
        </w:r>
        <w:r w:rsidR="006872F2" w:rsidRPr="002852E1">
          <w:rPr>
            <w:rStyle w:val="Hyperlink"/>
            <w:noProof/>
          </w:rPr>
          <w:t>The applicant</w:t>
        </w:r>
        <w:r w:rsidR="006872F2">
          <w:rPr>
            <w:noProof/>
            <w:webHidden/>
          </w:rPr>
          <w:tab/>
        </w:r>
        <w:r w:rsidR="006872F2">
          <w:rPr>
            <w:noProof/>
            <w:webHidden/>
          </w:rPr>
          <w:fldChar w:fldCharType="begin"/>
        </w:r>
        <w:r w:rsidR="006872F2">
          <w:rPr>
            <w:noProof/>
            <w:webHidden/>
          </w:rPr>
          <w:instrText xml:space="preserve"> PAGEREF _Toc112136692 \h </w:instrText>
        </w:r>
        <w:r w:rsidR="006872F2">
          <w:rPr>
            <w:noProof/>
            <w:webHidden/>
          </w:rPr>
        </w:r>
        <w:r w:rsidR="006872F2">
          <w:rPr>
            <w:noProof/>
            <w:webHidden/>
          </w:rPr>
          <w:fldChar w:fldCharType="separate"/>
        </w:r>
        <w:r w:rsidR="006872F2">
          <w:rPr>
            <w:noProof/>
            <w:webHidden/>
          </w:rPr>
          <w:t>3</w:t>
        </w:r>
        <w:r w:rsidR="006872F2">
          <w:rPr>
            <w:noProof/>
            <w:webHidden/>
          </w:rPr>
          <w:fldChar w:fldCharType="end"/>
        </w:r>
      </w:hyperlink>
    </w:p>
    <w:p w14:paraId="204D5F9E" w14:textId="09ACBB0E" w:rsidR="006872F2" w:rsidRDefault="002649D1">
      <w:pPr>
        <w:pStyle w:val="TOC2"/>
        <w:rPr>
          <w:rFonts w:eastAsiaTheme="minorEastAsia" w:cstheme="minorBidi"/>
          <w:smallCaps w:val="0"/>
          <w:noProof/>
          <w:sz w:val="22"/>
          <w:szCs w:val="22"/>
          <w:lang w:val="en-AU" w:eastAsia="en-AU" w:bidi="ar-SA"/>
        </w:rPr>
      </w:pPr>
      <w:hyperlink w:anchor="_Toc112136693" w:history="1">
        <w:r w:rsidR="006872F2" w:rsidRPr="002852E1">
          <w:rPr>
            <w:rStyle w:val="Hyperlink"/>
            <w:noProof/>
          </w:rPr>
          <w:t>1.2</w:t>
        </w:r>
        <w:r w:rsidR="006872F2">
          <w:rPr>
            <w:rFonts w:eastAsiaTheme="minorEastAsia" w:cstheme="minorBidi"/>
            <w:smallCaps w:val="0"/>
            <w:noProof/>
            <w:sz w:val="22"/>
            <w:szCs w:val="22"/>
            <w:lang w:val="en-AU" w:eastAsia="en-AU" w:bidi="ar-SA"/>
          </w:rPr>
          <w:tab/>
        </w:r>
        <w:r w:rsidR="006872F2" w:rsidRPr="002852E1">
          <w:rPr>
            <w:rStyle w:val="Hyperlink"/>
            <w:noProof/>
          </w:rPr>
          <w:t>The application</w:t>
        </w:r>
        <w:r w:rsidR="006872F2">
          <w:rPr>
            <w:noProof/>
            <w:webHidden/>
          </w:rPr>
          <w:tab/>
        </w:r>
        <w:r w:rsidR="006872F2">
          <w:rPr>
            <w:noProof/>
            <w:webHidden/>
          </w:rPr>
          <w:fldChar w:fldCharType="begin"/>
        </w:r>
        <w:r w:rsidR="006872F2">
          <w:rPr>
            <w:noProof/>
            <w:webHidden/>
          </w:rPr>
          <w:instrText xml:space="preserve"> PAGEREF _Toc112136693 \h </w:instrText>
        </w:r>
        <w:r w:rsidR="006872F2">
          <w:rPr>
            <w:noProof/>
            <w:webHidden/>
          </w:rPr>
        </w:r>
        <w:r w:rsidR="006872F2">
          <w:rPr>
            <w:noProof/>
            <w:webHidden/>
          </w:rPr>
          <w:fldChar w:fldCharType="separate"/>
        </w:r>
        <w:r w:rsidR="006872F2">
          <w:rPr>
            <w:noProof/>
            <w:webHidden/>
          </w:rPr>
          <w:t>3</w:t>
        </w:r>
        <w:r w:rsidR="006872F2">
          <w:rPr>
            <w:noProof/>
            <w:webHidden/>
          </w:rPr>
          <w:fldChar w:fldCharType="end"/>
        </w:r>
      </w:hyperlink>
    </w:p>
    <w:p w14:paraId="5359FAF4" w14:textId="6881F513" w:rsidR="006872F2" w:rsidRDefault="002649D1">
      <w:pPr>
        <w:pStyle w:val="TOC2"/>
        <w:rPr>
          <w:rFonts w:eastAsiaTheme="minorEastAsia" w:cstheme="minorBidi"/>
          <w:smallCaps w:val="0"/>
          <w:noProof/>
          <w:sz w:val="22"/>
          <w:szCs w:val="22"/>
          <w:lang w:val="en-AU" w:eastAsia="en-AU" w:bidi="ar-SA"/>
        </w:rPr>
      </w:pPr>
      <w:hyperlink w:anchor="_Toc112136694" w:history="1">
        <w:r w:rsidR="006872F2" w:rsidRPr="002852E1">
          <w:rPr>
            <w:rStyle w:val="Hyperlink"/>
            <w:noProof/>
          </w:rPr>
          <w:t>1.3</w:t>
        </w:r>
        <w:r w:rsidR="006872F2">
          <w:rPr>
            <w:rFonts w:eastAsiaTheme="minorEastAsia" w:cstheme="minorBidi"/>
            <w:smallCaps w:val="0"/>
            <w:noProof/>
            <w:sz w:val="22"/>
            <w:szCs w:val="22"/>
            <w:lang w:val="en-AU" w:eastAsia="en-AU" w:bidi="ar-SA"/>
          </w:rPr>
          <w:tab/>
        </w:r>
        <w:r w:rsidR="006872F2" w:rsidRPr="002852E1">
          <w:rPr>
            <w:rStyle w:val="Hyperlink"/>
            <w:noProof/>
          </w:rPr>
          <w:t>The current standard</w:t>
        </w:r>
        <w:r w:rsidR="006872F2">
          <w:rPr>
            <w:noProof/>
            <w:webHidden/>
          </w:rPr>
          <w:tab/>
        </w:r>
        <w:r w:rsidR="006872F2">
          <w:rPr>
            <w:noProof/>
            <w:webHidden/>
          </w:rPr>
          <w:fldChar w:fldCharType="begin"/>
        </w:r>
        <w:r w:rsidR="006872F2">
          <w:rPr>
            <w:noProof/>
            <w:webHidden/>
          </w:rPr>
          <w:instrText xml:space="preserve"> PAGEREF _Toc112136694 \h </w:instrText>
        </w:r>
        <w:r w:rsidR="006872F2">
          <w:rPr>
            <w:noProof/>
            <w:webHidden/>
          </w:rPr>
        </w:r>
        <w:r w:rsidR="006872F2">
          <w:rPr>
            <w:noProof/>
            <w:webHidden/>
          </w:rPr>
          <w:fldChar w:fldCharType="separate"/>
        </w:r>
        <w:r w:rsidR="006872F2">
          <w:rPr>
            <w:noProof/>
            <w:webHidden/>
          </w:rPr>
          <w:t>3</w:t>
        </w:r>
        <w:r w:rsidR="006872F2">
          <w:rPr>
            <w:noProof/>
            <w:webHidden/>
          </w:rPr>
          <w:fldChar w:fldCharType="end"/>
        </w:r>
      </w:hyperlink>
    </w:p>
    <w:p w14:paraId="3DFD3237" w14:textId="5C92C968" w:rsidR="006872F2" w:rsidRDefault="002649D1">
      <w:pPr>
        <w:pStyle w:val="TOC2"/>
        <w:rPr>
          <w:rFonts w:eastAsiaTheme="minorEastAsia" w:cstheme="minorBidi"/>
          <w:smallCaps w:val="0"/>
          <w:noProof/>
          <w:sz w:val="22"/>
          <w:szCs w:val="22"/>
          <w:lang w:val="en-AU" w:eastAsia="en-AU" w:bidi="ar-SA"/>
        </w:rPr>
      </w:pPr>
      <w:hyperlink w:anchor="_Toc112136695" w:history="1">
        <w:r w:rsidR="006872F2" w:rsidRPr="002852E1">
          <w:rPr>
            <w:rStyle w:val="Hyperlink"/>
            <w:noProof/>
          </w:rPr>
          <w:t>1.4</w:t>
        </w:r>
        <w:r w:rsidR="006872F2">
          <w:rPr>
            <w:rFonts w:eastAsiaTheme="minorEastAsia" w:cstheme="minorBidi"/>
            <w:smallCaps w:val="0"/>
            <w:noProof/>
            <w:sz w:val="22"/>
            <w:szCs w:val="22"/>
            <w:lang w:val="en-AU" w:eastAsia="en-AU" w:bidi="ar-SA"/>
          </w:rPr>
          <w:tab/>
        </w:r>
        <w:r w:rsidR="006872F2" w:rsidRPr="002852E1">
          <w:rPr>
            <w:rStyle w:val="Hyperlink"/>
            <w:noProof/>
          </w:rPr>
          <w:t>Reasons for accepting Application</w:t>
        </w:r>
        <w:r w:rsidR="006872F2">
          <w:rPr>
            <w:noProof/>
            <w:webHidden/>
          </w:rPr>
          <w:tab/>
        </w:r>
        <w:r w:rsidR="006872F2">
          <w:rPr>
            <w:noProof/>
            <w:webHidden/>
          </w:rPr>
          <w:fldChar w:fldCharType="begin"/>
        </w:r>
        <w:r w:rsidR="006872F2">
          <w:rPr>
            <w:noProof/>
            <w:webHidden/>
          </w:rPr>
          <w:instrText xml:space="preserve"> PAGEREF _Toc112136695 \h </w:instrText>
        </w:r>
        <w:r w:rsidR="006872F2">
          <w:rPr>
            <w:noProof/>
            <w:webHidden/>
          </w:rPr>
        </w:r>
        <w:r w:rsidR="006872F2">
          <w:rPr>
            <w:noProof/>
            <w:webHidden/>
          </w:rPr>
          <w:fldChar w:fldCharType="separate"/>
        </w:r>
        <w:r w:rsidR="006872F2">
          <w:rPr>
            <w:noProof/>
            <w:webHidden/>
          </w:rPr>
          <w:t>5</w:t>
        </w:r>
        <w:r w:rsidR="006872F2">
          <w:rPr>
            <w:noProof/>
            <w:webHidden/>
          </w:rPr>
          <w:fldChar w:fldCharType="end"/>
        </w:r>
      </w:hyperlink>
    </w:p>
    <w:p w14:paraId="357C3E13" w14:textId="65338639" w:rsidR="006872F2" w:rsidRDefault="002649D1">
      <w:pPr>
        <w:pStyle w:val="TOC2"/>
        <w:rPr>
          <w:rFonts w:eastAsiaTheme="minorEastAsia" w:cstheme="minorBidi"/>
          <w:smallCaps w:val="0"/>
          <w:noProof/>
          <w:sz w:val="22"/>
          <w:szCs w:val="22"/>
          <w:lang w:val="en-AU" w:eastAsia="en-AU" w:bidi="ar-SA"/>
        </w:rPr>
      </w:pPr>
      <w:hyperlink w:anchor="_Toc112136696" w:history="1">
        <w:r w:rsidR="006872F2" w:rsidRPr="002852E1">
          <w:rPr>
            <w:rStyle w:val="Hyperlink"/>
            <w:noProof/>
          </w:rPr>
          <w:t>1.5</w:t>
        </w:r>
        <w:r w:rsidR="006872F2">
          <w:rPr>
            <w:rFonts w:eastAsiaTheme="minorEastAsia" w:cstheme="minorBidi"/>
            <w:smallCaps w:val="0"/>
            <w:noProof/>
            <w:sz w:val="22"/>
            <w:szCs w:val="22"/>
            <w:lang w:val="en-AU" w:eastAsia="en-AU" w:bidi="ar-SA"/>
          </w:rPr>
          <w:tab/>
        </w:r>
        <w:r w:rsidR="006872F2" w:rsidRPr="002852E1">
          <w:rPr>
            <w:rStyle w:val="Hyperlink"/>
            <w:noProof/>
          </w:rPr>
          <w:t>Procedure for assessment</w:t>
        </w:r>
        <w:r w:rsidR="006872F2">
          <w:rPr>
            <w:noProof/>
            <w:webHidden/>
          </w:rPr>
          <w:tab/>
        </w:r>
        <w:r w:rsidR="006872F2">
          <w:rPr>
            <w:noProof/>
            <w:webHidden/>
          </w:rPr>
          <w:fldChar w:fldCharType="begin"/>
        </w:r>
        <w:r w:rsidR="006872F2">
          <w:rPr>
            <w:noProof/>
            <w:webHidden/>
          </w:rPr>
          <w:instrText xml:space="preserve"> PAGEREF _Toc112136696 \h </w:instrText>
        </w:r>
        <w:r w:rsidR="006872F2">
          <w:rPr>
            <w:noProof/>
            <w:webHidden/>
          </w:rPr>
        </w:r>
        <w:r w:rsidR="006872F2">
          <w:rPr>
            <w:noProof/>
            <w:webHidden/>
          </w:rPr>
          <w:fldChar w:fldCharType="separate"/>
        </w:r>
        <w:r w:rsidR="006872F2">
          <w:rPr>
            <w:noProof/>
            <w:webHidden/>
          </w:rPr>
          <w:t>5</w:t>
        </w:r>
        <w:r w:rsidR="006872F2">
          <w:rPr>
            <w:noProof/>
            <w:webHidden/>
          </w:rPr>
          <w:fldChar w:fldCharType="end"/>
        </w:r>
      </w:hyperlink>
    </w:p>
    <w:p w14:paraId="7A662D6D" w14:textId="03014A1B" w:rsidR="006872F2" w:rsidRDefault="002649D1">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2136697" w:history="1">
        <w:r w:rsidR="006872F2" w:rsidRPr="002852E1">
          <w:rPr>
            <w:rStyle w:val="Hyperlink"/>
            <w:noProof/>
          </w:rPr>
          <w:t>2</w:t>
        </w:r>
        <w:r w:rsidR="006872F2">
          <w:rPr>
            <w:rFonts w:eastAsiaTheme="minorEastAsia" w:cstheme="minorBidi"/>
            <w:b w:val="0"/>
            <w:bCs w:val="0"/>
            <w:caps w:val="0"/>
            <w:noProof/>
            <w:sz w:val="22"/>
            <w:szCs w:val="22"/>
            <w:lang w:val="en-AU" w:eastAsia="en-AU" w:bidi="ar-SA"/>
          </w:rPr>
          <w:tab/>
        </w:r>
        <w:r w:rsidR="006872F2" w:rsidRPr="002852E1">
          <w:rPr>
            <w:rStyle w:val="Hyperlink"/>
            <w:noProof/>
          </w:rPr>
          <w:t>Summary of the assessment</w:t>
        </w:r>
        <w:r w:rsidR="006872F2">
          <w:rPr>
            <w:noProof/>
            <w:webHidden/>
          </w:rPr>
          <w:tab/>
        </w:r>
        <w:r w:rsidR="006872F2">
          <w:rPr>
            <w:noProof/>
            <w:webHidden/>
          </w:rPr>
          <w:fldChar w:fldCharType="begin"/>
        </w:r>
        <w:r w:rsidR="006872F2">
          <w:rPr>
            <w:noProof/>
            <w:webHidden/>
          </w:rPr>
          <w:instrText xml:space="preserve"> PAGEREF _Toc112136697 \h </w:instrText>
        </w:r>
        <w:r w:rsidR="006872F2">
          <w:rPr>
            <w:noProof/>
            <w:webHidden/>
          </w:rPr>
        </w:r>
        <w:r w:rsidR="006872F2">
          <w:rPr>
            <w:noProof/>
            <w:webHidden/>
          </w:rPr>
          <w:fldChar w:fldCharType="separate"/>
        </w:r>
        <w:r w:rsidR="006872F2">
          <w:rPr>
            <w:noProof/>
            <w:webHidden/>
          </w:rPr>
          <w:t>5</w:t>
        </w:r>
        <w:r w:rsidR="006872F2">
          <w:rPr>
            <w:noProof/>
            <w:webHidden/>
          </w:rPr>
          <w:fldChar w:fldCharType="end"/>
        </w:r>
      </w:hyperlink>
    </w:p>
    <w:p w14:paraId="3CE99639" w14:textId="1C50399B" w:rsidR="006872F2" w:rsidRDefault="002649D1">
      <w:pPr>
        <w:pStyle w:val="TOC2"/>
        <w:rPr>
          <w:rFonts w:eastAsiaTheme="minorEastAsia" w:cstheme="minorBidi"/>
          <w:smallCaps w:val="0"/>
          <w:noProof/>
          <w:sz w:val="22"/>
          <w:szCs w:val="22"/>
          <w:lang w:val="en-AU" w:eastAsia="en-AU" w:bidi="ar-SA"/>
        </w:rPr>
      </w:pPr>
      <w:hyperlink w:anchor="_Toc112136698" w:history="1">
        <w:r w:rsidR="006872F2" w:rsidRPr="002852E1">
          <w:rPr>
            <w:rStyle w:val="Hyperlink"/>
            <w:noProof/>
          </w:rPr>
          <w:t>2.1</w:t>
        </w:r>
        <w:r w:rsidR="006872F2">
          <w:rPr>
            <w:rFonts w:eastAsiaTheme="minorEastAsia" w:cstheme="minorBidi"/>
            <w:smallCaps w:val="0"/>
            <w:noProof/>
            <w:sz w:val="22"/>
            <w:szCs w:val="22"/>
            <w:lang w:val="en-AU" w:eastAsia="en-AU" w:bidi="ar-SA"/>
          </w:rPr>
          <w:tab/>
        </w:r>
        <w:r w:rsidR="006872F2" w:rsidRPr="002852E1">
          <w:rPr>
            <w:rStyle w:val="Hyperlink"/>
            <w:noProof/>
          </w:rPr>
          <w:t>Risk assessment</w:t>
        </w:r>
        <w:r w:rsidR="006872F2">
          <w:rPr>
            <w:noProof/>
            <w:webHidden/>
          </w:rPr>
          <w:tab/>
        </w:r>
        <w:r w:rsidR="006872F2">
          <w:rPr>
            <w:noProof/>
            <w:webHidden/>
          </w:rPr>
          <w:fldChar w:fldCharType="begin"/>
        </w:r>
        <w:r w:rsidR="006872F2">
          <w:rPr>
            <w:noProof/>
            <w:webHidden/>
          </w:rPr>
          <w:instrText xml:space="preserve"> PAGEREF _Toc112136698 \h </w:instrText>
        </w:r>
        <w:r w:rsidR="006872F2">
          <w:rPr>
            <w:noProof/>
            <w:webHidden/>
          </w:rPr>
        </w:r>
        <w:r w:rsidR="006872F2">
          <w:rPr>
            <w:noProof/>
            <w:webHidden/>
          </w:rPr>
          <w:fldChar w:fldCharType="separate"/>
        </w:r>
        <w:r w:rsidR="006872F2">
          <w:rPr>
            <w:noProof/>
            <w:webHidden/>
          </w:rPr>
          <w:t>5</w:t>
        </w:r>
        <w:r w:rsidR="006872F2">
          <w:rPr>
            <w:noProof/>
            <w:webHidden/>
          </w:rPr>
          <w:fldChar w:fldCharType="end"/>
        </w:r>
      </w:hyperlink>
    </w:p>
    <w:p w14:paraId="6834EAA3" w14:textId="34BB1808" w:rsidR="006872F2" w:rsidRDefault="002649D1">
      <w:pPr>
        <w:pStyle w:val="TOC2"/>
        <w:rPr>
          <w:rFonts w:eastAsiaTheme="minorEastAsia" w:cstheme="minorBidi"/>
          <w:smallCaps w:val="0"/>
          <w:noProof/>
          <w:sz w:val="22"/>
          <w:szCs w:val="22"/>
          <w:lang w:val="en-AU" w:eastAsia="en-AU" w:bidi="ar-SA"/>
        </w:rPr>
      </w:pPr>
      <w:hyperlink w:anchor="_Toc112136699" w:history="1">
        <w:r w:rsidR="006872F2" w:rsidRPr="002852E1">
          <w:rPr>
            <w:rStyle w:val="Hyperlink"/>
            <w:noProof/>
          </w:rPr>
          <w:t>2.2</w:t>
        </w:r>
        <w:r w:rsidR="006872F2">
          <w:rPr>
            <w:rFonts w:eastAsiaTheme="minorEastAsia" w:cstheme="minorBidi"/>
            <w:smallCaps w:val="0"/>
            <w:noProof/>
            <w:sz w:val="22"/>
            <w:szCs w:val="22"/>
            <w:lang w:val="en-AU" w:eastAsia="en-AU" w:bidi="ar-SA"/>
          </w:rPr>
          <w:tab/>
        </w:r>
        <w:r w:rsidR="006872F2" w:rsidRPr="002852E1">
          <w:rPr>
            <w:rStyle w:val="Hyperlink"/>
            <w:noProof/>
          </w:rPr>
          <w:t>Risk management</w:t>
        </w:r>
        <w:r w:rsidR="006872F2">
          <w:rPr>
            <w:noProof/>
            <w:webHidden/>
          </w:rPr>
          <w:tab/>
        </w:r>
        <w:r w:rsidR="006872F2">
          <w:rPr>
            <w:noProof/>
            <w:webHidden/>
          </w:rPr>
          <w:fldChar w:fldCharType="begin"/>
        </w:r>
        <w:r w:rsidR="006872F2">
          <w:rPr>
            <w:noProof/>
            <w:webHidden/>
          </w:rPr>
          <w:instrText xml:space="preserve"> PAGEREF _Toc112136699 \h </w:instrText>
        </w:r>
        <w:r w:rsidR="006872F2">
          <w:rPr>
            <w:noProof/>
            <w:webHidden/>
          </w:rPr>
        </w:r>
        <w:r w:rsidR="006872F2">
          <w:rPr>
            <w:noProof/>
            <w:webHidden/>
          </w:rPr>
          <w:fldChar w:fldCharType="separate"/>
        </w:r>
        <w:r w:rsidR="006872F2">
          <w:rPr>
            <w:noProof/>
            <w:webHidden/>
          </w:rPr>
          <w:t>6</w:t>
        </w:r>
        <w:r w:rsidR="006872F2">
          <w:rPr>
            <w:noProof/>
            <w:webHidden/>
          </w:rPr>
          <w:fldChar w:fldCharType="end"/>
        </w:r>
      </w:hyperlink>
    </w:p>
    <w:p w14:paraId="511A5890" w14:textId="5EA904FA"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0" w:history="1">
        <w:r w:rsidR="006872F2" w:rsidRPr="002852E1">
          <w:rPr>
            <w:rStyle w:val="Hyperlink"/>
            <w:noProof/>
          </w:rPr>
          <w:t>2.2.1</w:t>
        </w:r>
        <w:r w:rsidR="006872F2">
          <w:rPr>
            <w:rFonts w:eastAsiaTheme="minorEastAsia" w:cstheme="minorBidi"/>
            <w:i w:val="0"/>
            <w:iCs w:val="0"/>
            <w:noProof/>
            <w:sz w:val="22"/>
            <w:szCs w:val="22"/>
            <w:lang w:val="en-AU" w:eastAsia="en-AU" w:bidi="ar-SA"/>
          </w:rPr>
          <w:tab/>
        </w:r>
        <w:r w:rsidR="006872F2" w:rsidRPr="002852E1">
          <w:rPr>
            <w:rStyle w:val="Hyperlink"/>
            <w:noProof/>
          </w:rPr>
          <w:t>Regulatory approval for enzymes</w:t>
        </w:r>
        <w:r w:rsidR="006872F2">
          <w:rPr>
            <w:noProof/>
            <w:webHidden/>
          </w:rPr>
          <w:tab/>
        </w:r>
        <w:r w:rsidR="006872F2">
          <w:rPr>
            <w:noProof/>
            <w:webHidden/>
          </w:rPr>
          <w:fldChar w:fldCharType="begin"/>
        </w:r>
        <w:r w:rsidR="006872F2">
          <w:rPr>
            <w:noProof/>
            <w:webHidden/>
          </w:rPr>
          <w:instrText xml:space="preserve"> PAGEREF _Toc112136700 \h </w:instrText>
        </w:r>
        <w:r w:rsidR="006872F2">
          <w:rPr>
            <w:noProof/>
            <w:webHidden/>
          </w:rPr>
        </w:r>
        <w:r w:rsidR="006872F2">
          <w:rPr>
            <w:noProof/>
            <w:webHidden/>
          </w:rPr>
          <w:fldChar w:fldCharType="separate"/>
        </w:r>
        <w:r w:rsidR="006872F2">
          <w:rPr>
            <w:noProof/>
            <w:webHidden/>
          </w:rPr>
          <w:t>6</w:t>
        </w:r>
        <w:r w:rsidR="006872F2">
          <w:rPr>
            <w:noProof/>
            <w:webHidden/>
          </w:rPr>
          <w:fldChar w:fldCharType="end"/>
        </w:r>
      </w:hyperlink>
    </w:p>
    <w:p w14:paraId="7AC474FC" w14:textId="6109BFFE"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1" w:history="1">
        <w:r w:rsidR="006872F2" w:rsidRPr="002852E1">
          <w:rPr>
            <w:rStyle w:val="Hyperlink"/>
            <w:noProof/>
          </w:rPr>
          <w:t>2.2.2</w:t>
        </w:r>
        <w:r w:rsidR="006872F2">
          <w:rPr>
            <w:rFonts w:eastAsiaTheme="minorEastAsia" w:cstheme="minorBidi"/>
            <w:i w:val="0"/>
            <w:iCs w:val="0"/>
            <w:noProof/>
            <w:sz w:val="22"/>
            <w:szCs w:val="22"/>
            <w:lang w:val="en-AU" w:eastAsia="en-AU" w:bidi="ar-SA"/>
          </w:rPr>
          <w:tab/>
        </w:r>
        <w:r w:rsidR="006872F2" w:rsidRPr="002852E1">
          <w:rPr>
            <w:rStyle w:val="Hyperlink"/>
            <w:noProof/>
          </w:rPr>
          <w:t>Enzyme and source microorganism nomenclature</w:t>
        </w:r>
        <w:r w:rsidR="006872F2">
          <w:rPr>
            <w:noProof/>
            <w:webHidden/>
          </w:rPr>
          <w:tab/>
        </w:r>
        <w:r w:rsidR="006872F2">
          <w:rPr>
            <w:noProof/>
            <w:webHidden/>
          </w:rPr>
          <w:fldChar w:fldCharType="begin"/>
        </w:r>
        <w:r w:rsidR="006872F2">
          <w:rPr>
            <w:noProof/>
            <w:webHidden/>
          </w:rPr>
          <w:instrText xml:space="preserve"> PAGEREF _Toc112136701 \h </w:instrText>
        </w:r>
        <w:r w:rsidR="006872F2">
          <w:rPr>
            <w:noProof/>
            <w:webHidden/>
          </w:rPr>
        </w:r>
        <w:r w:rsidR="006872F2">
          <w:rPr>
            <w:noProof/>
            <w:webHidden/>
          </w:rPr>
          <w:fldChar w:fldCharType="separate"/>
        </w:r>
        <w:r w:rsidR="006872F2">
          <w:rPr>
            <w:noProof/>
            <w:webHidden/>
          </w:rPr>
          <w:t>6</w:t>
        </w:r>
        <w:r w:rsidR="006872F2">
          <w:rPr>
            <w:noProof/>
            <w:webHidden/>
          </w:rPr>
          <w:fldChar w:fldCharType="end"/>
        </w:r>
      </w:hyperlink>
    </w:p>
    <w:p w14:paraId="5DC8DE3B" w14:textId="02FE4062"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2" w:history="1">
        <w:r w:rsidR="006872F2" w:rsidRPr="002852E1">
          <w:rPr>
            <w:rStyle w:val="Hyperlink"/>
            <w:noProof/>
          </w:rPr>
          <w:t>2.2.3</w:t>
        </w:r>
        <w:r w:rsidR="006872F2">
          <w:rPr>
            <w:rFonts w:eastAsiaTheme="minorEastAsia" w:cstheme="minorBidi"/>
            <w:i w:val="0"/>
            <w:iCs w:val="0"/>
            <w:noProof/>
            <w:sz w:val="22"/>
            <w:szCs w:val="22"/>
            <w:lang w:val="en-AU" w:eastAsia="en-AU" w:bidi="ar-SA"/>
          </w:rPr>
          <w:tab/>
        </w:r>
        <w:r w:rsidR="006872F2" w:rsidRPr="002852E1">
          <w:rPr>
            <w:rStyle w:val="Hyperlink"/>
            <w:noProof/>
          </w:rPr>
          <w:t>Labelling</w:t>
        </w:r>
        <w:r w:rsidR="006872F2">
          <w:rPr>
            <w:noProof/>
            <w:webHidden/>
          </w:rPr>
          <w:tab/>
        </w:r>
        <w:r w:rsidR="006872F2">
          <w:rPr>
            <w:noProof/>
            <w:webHidden/>
          </w:rPr>
          <w:fldChar w:fldCharType="begin"/>
        </w:r>
        <w:r w:rsidR="006872F2">
          <w:rPr>
            <w:noProof/>
            <w:webHidden/>
          </w:rPr>
          <w:instrText xml:space="preserve"> PAGEREF _Toc112136702 \h </w:instrText>
        </w:r>
        <w:r w:rsidR="006872F2">
          <w:rPr>
            <w:noProof/>
            <w:webHidden/>
          </w:rPr>
        </w:r>
        <w:r w:rsidR="006872F2">
          <w:rPr>
            <w:noProof/>
            <w:webHidden/>
          </w:rPr>
          <w:fldChar w:fldCharType="separate"/>
        </w:r>
        <w:r w:rsidR="006872F2">
          <w:rPr>
            <w:noProof/>
            <w:webHidden/>
          </w:rPr>
          <w:t>7</w:t>
        </w:r>
        <w:r w:rsidR="006872F2">
          <w:rPr>
            <w:noProof/>
            <w:webHidden/>
          </w:rPr>
          <w:fldChar w:fldCharType="end"/>
        </w:r>
      </w:hyperlink>
    </w:p>
    <w:p w14:paraId="7E0272D8" w14:textId="266744A1"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3" w:history="1">
        <w:r w:rsidR="006872F2" w:rsidRPr="002852E1">
          <w:rPr>
            <w:rStyle w:val="Hyperlink"/>
            <w:noProof/>
          </w:rPr>
          <w:t>2.2.4</w:t>
        </w:r>
        <w:r w:rsidR="006872F2">
          <w:rPr>
            <w:rFonts w:eastAsiaTheme="minorEastAsia" w:cstheme="minorBidi"/>
            <w:i w:val="0"/>
            <w:iCs w:val="0"/>
            <w:noProof/>
            <w:sz w:val="22"/>
            <w:szCs w:val="22"/>
            <w:lang w:val="en-AU" w:eastAsia="en-AU" w:bidi="ar-SA"/>
          </w:rPr>
          <w:tab/>
        </w:r>
        <w:r w:rsidR="006872F2" w:rsidRPr="002852E1">
          <w:rPr>
            <w:rStyle w:val="Hyperlink"/>
            <w:noProof/>
          </w:rPr>
          <w:t>Risk management conclusion</w:t>
        </w:r>
        <w:r w:rsidR="006872F2">
          <w:rPr>
            <w:noProof/>
            <w:webHidden/>
          </w:rPr>
          <w:tab/>
        </w:r>
        <w:r w:rsidR="006872F2">
          <w:rPr>
            <w:noProof/>
            <w:webHidden/>
          </w:rPr>
          <w:fldChar w:fldCharType="begin"/>
        </w:r>
        <w:r w:rsidR="006872F2">
          <w:rPr>
            <w:noProof/>
            <w:webHidden/>
          </w:rPr>
          <w:instrText xml:space="preserve"> PAGEREF _Toc112136703 \h </w:instrText>
        </w:r>
        <w:r w:rsidR="006872F2">
          <w:rPr>
            <w:noProof/>
            <w:webHidden/>
          </w:rPr>
        </w:r>
        <w:r w:rsidR="006872F2">
          <w:rPr>
            <w:noProof/>
            <w:webHidden/>
          </w:rPr>
          <w:fldChar w:fldCharType="separate"/>
        </w:r>
        <w:r w:rsidR="006872F2">
          <w:rPr>
            <w:noProof/>
            <w:webHidden/>
          </w:rPr>
          <w:t>7</w:t>
        </w:r>
        <w:r w:rsidR="006872F2">
          <w:rPr>
            <w:noProof/>
            <w:webHidden/>
          </w:rPr>
          <w:fldChar w:fldCharType="end"/>
        </w:r>
      </w:hyperlink>
    </w:p>
    <w:p w14:paraId="3EFCBA83" w14:textId="4759EEA7" w:rsidR="006872F2" w:rsidRDefault="002649D1">
      <w:pPr>
        <w:pStyle w:val="TOC2"/>
        <w:rPr>
          <w:rFonts w:eastAsiaTheme="minorEastAsia" w:cstheme="minorBidi"/>
          <w:smallCaps w:val="0"/>
          <w:noProof/>
          <w:sz w:val="22"/>
          <w:szCs w:val="22"/>
          <w:lang w:val="en-AU" w:eastAsia="en-AU" w:bidi="ar-SA"/>
        </w:rPr>
      </w:pPr>
      <w:hyperlink w:anchor="_Toc112136704" w:history="1">
        <w:r w:rsidR="006872F2" w:rsidRPr="002852E1">
          <w:rPr>
            <w:rStyle w:val="Hyperlink"/>
            <w:noProof/>
          </w:rPr>
          <w:t>2.3</w:t>
        </w:r>
        <w:r w:rsidR="006872F2">
          <w:rPr>
            <w:rFonts w:eastAsiaTheme="minorEastAsia" w:cstheme="minorBidi"/>
            <w:smallCaps w:val="0"/>
            <w:noProof/>
            <w:sz w:val="22"/>
            <w:szCs w:val="22"/>
            <w:lang w:val="en-AU" w:eastAsia="en-AU" w:bidi="ar-SA"/>
          </w:rPr>
          <w:tab/>
        </w:r>
        <w:r w:rsidR="006872F2" w:rsidRPr="002852E1">
          <w:rPr>
            <w:rStyle w:val="Hyperlink"/>
            <w:noProof/>
          </w:rPr>
          <w:t>Risk communication</w:t>
        </w:r>
        <w:r w:rsidR="006872F2">
          <w:rPr>
            <w:noProof/>
            <w:webHidden/>
          </w:rPr>
          <w:tab/>
        </w:r>
        <w:r w:rsidR="006872F2">
          <w:rPr>
            <w:noProof/>
            <w:webHidden/>
          </w:rPr>
          <w:fldChar w:fldCharType="begin"/>
        </w:r>
        <w:r w:rsidR="006872F2">
          <w:rPr>
            <w:noProof/>
            <w:webHidden/>
          </w:rPr>
          <w:instrText xml:space="preserve"> PAGEREF _Toc112136704 \h </w:instrText>
        </w:r>
        <w:r w:rsidR="006872F2">
          <w:rPr>
            <w:noProof/>
            <w:webHidden/>
          </w:rPr>
        </w:r>
        <w:r w:rsidR="006872F2">
          <w:rPr>
            <w:noProof/>
            <w:webHidden/>
          </w:rPr>
          <w:fldChar w:fldCharType="separate"/>
        </w:r>
        <w:r w:rsidR="006872F2">
          <w:rPr>
            <w:noProof/>
            <w:webHidden/>
          </w:rPr>
          <w:t>8</w:t>
        </w:r>
        <w:r w:rsidR="006872F2">
          <w:rPr>
            <w:noProof/>
            <w:webHidden/>
          </w:rPr>
          <w:fldChar w:fldCharType="end"/>
        </w:r>
      </w:hyperlink>
    </w:p>
    <w:p w14:paraId="008BF8C1" w14:textId="59EEF04C"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5" w:history="1">
        <w:r w:rsidR="006872F2" w:rsidRPr="002852E1">
          <w:rPr>
            <w:rStyle w:val="Hyperlink"/>
            <w:noProof/>
          </w:rPr>
          <w:t>2.3.1</w:t>
        </w:r>
        <w:r w:rsidR="006872F2">
          <w:rPr>
            <w:rFonts w:eastAsiaTheme="minorEastAsia" w:cstheme="minorBidi"/>
            <w:i w:val="0"/>
            <w:iCs w:val="0"/>
            <w:noProof/>
            <w:sz w:val="22"/>
            <w:szCs w:val="22"/>
            <w:lang w:val="en-AU" w:eastAsia="en-AU" w:bidi="ar-SA"/>
          </w:rPr>
          <w:tab/>
        </w:r>
        <w:r w:rsidR="006872F2" w:rsidRPr="002852E1">
          <w:rPr>
            <w:rStyle w:val="Hyperlink"/>
            <w:noProof/>
          </w:rPr>
          <w:t>Consultation</w:t>
        </w:r>
        <w:r w:rsidR="006872F2">
          <w:rPr>
            <w:noProof/>
            <w:webHidden/>
          </w:rPr>
          <w:tab/>
        </w:r>
        <w:r w:rsidR="006872F2">
          <w:rPr>
            <w:noProof/>
            <w:webHidden/>
          </w:rPr>
          <w:fldChar w:fldCharType="begin"/>
        </w:r>
        <w:r w:rsidR="006872F2">
          <w:rPr>
            <w:noProof/>
            <w:webHidden/>
          </w:rPr>
          <w:instrText xml:space="preserve"> PAGEREF _Toc112136705 \h </w:instrText>
        </w:r>
        <w:r w:rsidR="006872F2">
          <w:rPr>
            <w:noProof/>
            <w:webHidden/>
          </w:rPr>
        </w:r>
        <w:r w:rsidR="006872F2">
          <w:rPr>
            <w:noProof/>
            <w:webHidden/>
          </w:rPr>
          <w:fldChar w:fldCharType="separate"/>
        </w:r>
        <w:r w:rsidR="006872F2">
          <w:rPr>
            <w:noProof/>
            <w:webHidden/>
          </w:rPr>
          <w:t>8</w:t>
        </w:r>
        <w:r w:rsidR="006872F2">
          <w:rPr>
            <w:noProof/>
            <w:webHidden/>
          </w:rPr>
          <w:fldChar w:fldCharType="end"/>
        </w:r>
      </w:hyperlink>
    </w:p>
    <w:p w14:paraId="14D2AA54" w14:textId="751AFB4A"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6" w:history="1">
        <w:r w:rsidR="006872F2" w:rsidRPr="002852E1">
          <w:rPr>
            <w:rStyle w:val="Hyperlink"/>
            <w:noProof/>
          </w:rPr>
          <w:t>2.3.2</w:t>
        </w:r>
        <w:r w:rsidR="006872F2">
          <w:rPr>
            <w:rFonts w:eastAsiaTheme="minorEastAsia" w:cstheme="minorBidi"/>
            <w:i w:val="0"/>
            <w:iCs w:val="0"/>
            <w:noProof/>
            <w:sz w:val="22"/>
            <w:szCs w:val="22"/>
            <w:lang w:val="en-AU" w:eastAsia="en-AU" w:bidi="ar-SA"/>
          </w:rPr>
          <w:tab/>
        </w:r>
        <w:r w:rsidR="006872F2" w:rsidRPr="002852E1">
          <w:rPr>
            <w:rStyle w:val="Hyperlink"/>
            <w:noProof/>
          </w:rPr>
          <w:t>World Trade Organization (WTO)</w:t>
        </w:r>
        <w:r w:rsidR="006872F2">
          <w:rPr>
            <w:noProof/>
            <w:webHidden/>
          </w:rPr>
          <w:tab/>
        </w:r>
        <w:r w:rsidR="006872F2">
          <w:rPr>
            <w:noProof/>
            <w:webHidden/>
          </w:rPr>
          <w:fldChar w:fldCharType="begin"/>
        </w:r>
        <w:r w:rsidR="006872F2">
          <w:rPr>
            <w:noProof/>
            <w:webHidden/>
          </w:rPr>
          <w:instrText xml:space="preserve"> PAGEREF _Toc112136706 \h </w:instrText>
        </w:r>
        <w:r w:rsidR="006872F2">
          <w:rPr>
            <w:noProof/>
            <w:webHidden/>
          </w:rPr>
        </w:r>
        <w:r w:rsidR="006872F2">
          <w:rPr>
            <w:noProof/>
            <w:webHidden/>
          </w:rPr>
          <w:fldChar w:fldCharType="separate"/>
        </w:r>
        <w:r w:rsidR="006872F2">
          <w:rPr>
            <w:noProof/>
            <w:webHidden/>
          </w:rPr>
          <w:t>8</w:t>
        </w:r>
        <w:r w:rsidR="006872F2">
          <w:rPr>
            <w:noProof/>
            <w:webHidden/>
          </w:rPr>
          <w:fldChar w:fldCharType="end"/>
        </w:r>
      </w:hyperlink>
    </w:p>
    <w:p w14:paraId="70DD246B" w14:textId="57601CFD" w:rsidR="006872F2" w:rsidRDefault="002649D1">
      <w:pPr>
        <w:pStyle w:val="TOC2"/>
        <w:rPr>
          <w:rFonts w:eastAsiaTheme="minorEastAsia" w:cstheme="minorBidi"/>
          <w:smallCaps w:val="0"/>
          <w:noProof/>
          <w:sz w:val="22"/>
          <w:szCs w:val="22"/>
          <w:lang w:val="en-AU" w:eastAsia="en-AU" w:bidi="ar-SA"/>
        </w:rPr>
      </w:pPr>
      <w:hyperlink w:anchor="_Toc112136707" w:history="1">
        <w:r w:rsidR="006872F2" w:rsidRPr="002852E1">
          <w:rPr>
            <w:rStyle w:val="Hyperlink"/>
            <w:noProof/>
          </w:rPr>
          <w:t>2.4</w:t>
        </w:r>
        <w:r w:rsidR="006872F2">
          <w:rPr>
            <w:rFonts w:eastAsiaTheme="minorEastAsia" w:cstheme="minorBidi"/>
            <w:smallCaps w:val="0"/>
            <w:noProof/>
            <w:sz w:val="22"/>
            <w:szCs w:val="22"/>
            <w:lang w:val="en-AU" w:eastAsia="en-AU" w:bidi="ar-SA"/>
          </w:rPr>
          <w:tab/>
        </w:r>
        <w:r w:rsidR="006872F2" w:rsidRPr="002852E1">
          <w:rPr>
            <w:rStyle w:val="Hyperlink"/>
            <w:noProof/>
          </w:rPr>
          <w:t>FSANZ Act assessment requirements</w:t>
        </w:r>
        <w:r w:rsidR="006872F2">
          <w:rPr>
            <w:noProof/>
            <w:webHidden/>
          </w:rPr>
          <w:tab/>
        </w:r>
        <w:r w:rsidR="006872F2">
          <w:rPr>
            <w:noProof/>
            <w:webHidden/>
          </w:rPr>
          <w:fldChar w:fldCharType="begin"/>
        </w:r>
        <w:r w:rsidR="006872F2">
          <w:rPr>
            <w:noProof/>
            <w:webHidden/>
          </w:rPr>
          <w:instrText xml:space="preserve"> PAGEREF _Toc112136707 \h </w:instrText>
        </w:r>
        <w:r w:rsidR="006872F2">
          <w:rPr>
            <w:noProof/>
            <w:webHidden/>
          </w:rPr>
        </w:r>
        <w:r w:rsidR="006872F2">
          <w:rPr>
            <w:noProof/>
            <w:webHidden/>
          </w:rPr>
          <w:fldChar w:fldCharType="separate"/>
        </w:r>
        <w:r w:rsidR="006872F2">
          <w:rPr>
            <w:noProof/>
            <w:webHidden/>
          </w:rPr>
          <w:t>8</w:t>
        </w:r>
        <w:r w:rsidR="006872F2">
          <w:rPr>
            <w:noProof/>
            <w:webHidden/>
          </w:rPr>
          <w:fldChar w:fldCharType="end"/>
        </w:r>
      </w:hyperlink>
    </w:p>
    <w:p w14:paraId="6ECB0249" w14:textId="1F879494"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08" w:history="1">
        <w:r w:rsidR="006872F2" w:rsidRPr="002852E1">
          <w:rPr>
            <w:rStyle w:val="Hyperlink"/>
            <w:noProof/>
          </w:rPr>
          <w:t>2.4.1</w:t>
        </w:r>
        <w:r w:rsidR="006872F2">
          <w:rPr>
            <w:rFonts w:eastAsiaTheme="minorEastAsia" w:cstheme="minorBidi"/>
            <w:i w:val="0"/>
            <w:iCs w:val="0"/>
            <w:noProof/>
            <w:sz w:val="22"/>
            <w:szCs w:val="22"/>
            <w:lang w:val="en-AU" w:eastAsia="en-AU" w:bidi="ar-SA"/>
          </w:rPr>
          <w:tab/>
        </w:r>
        <w:r w:rsidR="006872F2" w:rsidRPr="002852E1">
          <w:rPr>
            <w:rStyle w:val="Hyperlink"/>
            <w:noProof/>
          </w:rPr>
          <w:t>Section 29</w:t>
        </w:r>
        <w:r w:rsidR="006872F2">
          <w:rPr>
            <w:noProof/>
            <w:webHidden/>
          </w:rPr>
          <w:tab/>
        </w:r>
        <w:r w:rsidR="006872F2">
          <w:rPr>
            <w:noProof/>
            <w:webHidden/>
          </w:rPr>
          <w:fldChar w:fldCharType="begin"/>
        </w:r>
        <w:r w:rsidR="006872F2">
          <w:rPr>
            <w:noProof/>
            <w:webHidden/>
          </w:rPr>
          <w:instrText xml:space="preserve"> PAGEREF _Toc112136708 \h </w:instrText>
        </w:r>
        <w:r w:rsidR="006872F2">
          <w:rPr>
            <w:noProof/>
            <w:webHidden/>
          </w:rPr>
        </w:r>
        <w:r w:rsidR="006872F2">
          <w:rPr>
            <w:noProof/>
            <w:webHidden/>
          </w:rPr>
          <w:fldChar w:fldCharType="separate"/>
        </w:r>
        <w:r w:rsidR="006872F2">
          <w:rPr>
            <w:noProof/>
            <w:webHidden/>
          </w:rPr>
          <w:t>8</w:t>
        </w:r>
        <w:r w:rsidR="006872F2">
          <w:rPr>
            <w:noProof/>
            <w:webHidden/>
          </w:rPr>
          <w:fldChar w:fldCharType="end"/>
        </w:r>
      </w:hyperlink>
    </w:p>
    <w:p w14:paraId="7D2391D8" w14:textId="14A6C8E3" w:rsidR="006872F2" w:rsidRDefault="002649D1">
      <w:pPr>
        <w:pStyle w:val="TOC3"/>
        <w:tabs>
          <w:tab w:val="left" w:pos="1320"/>
          <w:tab w:val="right" w:leader="dot" w:pos="9060"/>
        </w:tabs>
        <w:rPr>
          <w:rFonts w:eastAsiaTheme="minorEastAsia" w:cstheme="minorBidi"/>
          <w:i w:val="0"/>
          <w:iCs w:val="0"/>
          <w:noProof/>
          <w:sz w:val="22"/>
          <w:szCs w:val="22"/>
          <w:lang w:val="en-AU" w:eastAsia="en-AU" w:bidi="ar-SA"/>
        </w:rPr>
      </w:pPr>
      <w:hyperlink w:anchor="_Toc112136709" w:history="1">
        <w:r w:rsidR="006872F2" w:rsidRPr="002852E1">
          <w:rPr>
            <w:rStyle w:val="Hyperlink"/>
            <w:noProof/>
          </w:rPr>
          <w:t>2.4.2.</w:t>
        </w:r>
        <w:r w:rsidR="006872F2">
          <w:rPr>
            <w:rFonts w:eastAsiaTheme="minorEastAsia" w:cstheme="minorBidi"/>
            <w:i w:val="0"/>
            <w:iCs w:val="0"/>
            <w:noProof/>
            <w:sz w:val="22"/>
            <w:szCs w:val="22"/>
            <w:lang w:val="en-AU" w:eastAsia="en-AU" w:bidi="ar-SA"/>
          </w:rPr>
          <w:tab/>
        </w:r>
        <w:r w:rsidR="006872F2" w:rsidRPr="002852E1">
          <w:rPr>
            <w:rStyle w:val="Hyperlink"/>
            <w:noProof/>
          </w:rPr>
          <w:t>Subsection 18(1)</w:t>
        </w:r>
        <w:r w:rsidR="006872F2">
          <w:rPr>
            <w:noProof/>
            <w:webHidden/>
          </w:rPr>
          <w:tab/>
        </w:r>
        <w:r w:rsidR="006872F2">
          <w:rPr>
            <w:noProof/>
            <w:webHidden/>
          </w:rPr>
          <w:fldChar w:fldCharType="begin"/>
        </w:r>
        <w:r w:rsidR="006872F2">
          <w:rPr>
            <w:noProof/>
            <w:webHidden/>
          </w:rPr>
          <w:instrText xml:space="preserve"> PAGEREF _Toc112136709 \h </w:instrText>
        </w:r>
        <w:r w:rsidR="006872F2">
          <w:rPr>
            <w:noProof/>
            <w:webHidden/>
          </w:rPr>
        </w:r>
        <w:r w:rsidR="006872F2">
          <w:rPr>
            <w:noProof/>
            <w:webHidden/>
          </w:rPr>
          <w:fldChar w:fldCharType="separate"/>
        </w:r>
        <w:r w:rsidR="006872F2">
          <w:rPr>
            <w:noProof/>
            <w:webHidden/>
          </w:rPr>
          <w:t>10</w:t>
        </w:r>
        <w:r w:rsidR="006872F2">
          <w:rPr>
            <w:noProof/>
            <w:webHidden/>
          </w:rPr>
          <w:fldChar w:fldCharType="end"/>
        </w:r>
      </w:hyperlink>
    </w:p>
    <w:p w14:paraId="589EF7E4" w14:textId="4818923E" w:rsidR="006872F2" w:rsidRDefault="002649D1">
      <w:pPr>
        <w:pStyle w:val="TOC3"/>
        <w:tabs>
          <w:tab w:val="left" w:pos="1100"/>
          <w:tab w:val="right" w:leader="dot" w:pos="9060"/>
        </w:tabs>
        <w:rPr>
          <w:rFonts w:eastAsiaTheme="minorEastAsia" w:cstheme="minorBidi"/>
          <w:i w:val="0"/>
          <w:iCs w:val="0"/>
          <w:noProof/>
          <w:sz w:val="22"/>
          <w:szCs w:val="22"/>
          <w:lang w:val="en-AU" w:eastAsia="en-AU" w:bidi="ar-SA"/>
        </w:rPr>
      </w:pPr>
      <w:hyperlink w:anchor="_Toc112136710" w:history="1">
        <w:r w:rsidR="006872F2" w:rsidRPr="002852E1">
          <w:rPr>
            <w:rStyle w:val="Hyperlink"/>
            <w:noProof/>
          </w:rPr>
          <w:t>2.4.3</w:t>
        </w:r>
        <w:r w:rsidR="006872F2">
          <w:rPr>
            <w:rFonts w:eastAsiaTheme="minorEastAsia" w:cstheme="minorBidi"/>
            <w:i w:val="0"/>
            <w:iCs w:val="0"/>
            <w:noProof/>
            <w:sz w:val="22"/>
            <w:szCs w:val="22"/>
            <w:lang w:val="en-AU" w:eastAsia="en-AU" w:bidi="ar-SA"/>
          </w:rPr>
          <w:tab/>
        </w:r>
        <w:r w:rsidR="006872F2" w:rsidRPr="002852E1">
          <w:rPr>
            <w:rStyle w:val="Hyperlink"/>
            <w:noProof/>
          </w:rPr>
          <w:t>Subsection 18(2) considerations</w:t>
        </w:r>
        <w:r w:rsidR="006872F2">
          <w:rPr>
            <w:noProof/>
            <w:webHidden/>
          </w:rPr>
          <w:tab/>
        </w:r>
        <w:r w:rsidR="006872F2">
          <w:rPr>
            <w:noProof/>
            <w:webHidden/>
          </w:rPr>
          <w:fldChar w:fldCharType="begin"/>
        </w:r>
        <w:r w:rsidR="006872F2">
          <w:rPr>
            <w:noProof/>
            <w:webHidden/>
          </w:rPr>
          <w:instrText xml:space="preserve"> PAGEREF _Toc112136710 \h </w:instrText>
        </w:r>
        <w:r w:rsidR="006872F2">
          <w:rPr>
            <w:noProof/>
            <w:webHidden/>
          </w:rPr>
        </w:r>
        <w:r w:rsidR="006872F2">
          <w:rPr>
            <w:noProof/>
            <w:webHidden/>
          </w:rPr>
          <w:fldChar w:fldCharType="separate"/>
        </w:r>
        <w:r w:rsidR="006872F2">
          <w:rPr>
            <w:noProof/>
            <w:webHidden/>
          </w:rPr>
          <w:t>10</w:t>
        </w:r>
        <w:r w:rsidR="006872F2">
          <w:rPr>
            <w:noProof/>
            <w:webHidden/>
          </w:rPr>
          <w:fldChar w:fldCharType="end"/>
        </w:r>
      </w:hyperlink>
    </w:p>
    <w:p w14:paraId="6598B95F" w14:textId="70DEB71F" w:rsidR="006872F2" w:rsidRDefault="002649D1">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2136711" w:history="1">
        <w:r w:rsidR="006872F2" w:rsidRPr="002852E1">
          <w:rPr>
            <w:rStyle w:val="Hyperlink"/>
            <w:noProof/>
          </w:rPr>
          <w:t>3</w:t>
        </w:r>
        <w:r w:rsidR="006872F2">
          <w:rPr>
            <w:rFonts w:eastAsiaTheme="minorEastAsia" w:cstheme="minorBidi"/>
            <w:b w:val="0"/>
            <w:bCs w:val="0"/>
            <w:caps w:val="0"/>
            <w:noProof/>
            <w:sz w:val="22"/>
            <w:szCs w:val="22"/>
            <w:lang w:val="en-AU" w:eastAsia="en-AU" w:bidi="ar-SA"/>
          </w:rPr>
          <w:tab/>
        </w:r>
        <w:r w:rsidR="006872F2" w:rsidRPr="002852E1">
          <w:rPr>
            <w:rStyle w:val="Hyperlink"/>
            <w:noProof/>
          </w:rPr>
          <w:t>Draft variation</w:t>
        </w:r>
        <w:r w:rsidR="006872F2">
          <w:rPr>
            <w:noProof/>
            <w:webHidden/>
          </w:rPr>
          <w:tab/>
        </w:r>
        <w:r w:rsidR="006872F2">
          <w:rPr>
            <w:noProof/>
            <w:webHidden/>
          </w:rPr>
          <w:fldChar w:fldCharType="begin"/>
        </w:r>
        <w:r w:rsidR="006872F2">
          <w:rPr>
            <w:noProof/>
            <w:webHidden/>
          </w:rPr>
          <w:instrText xml:space="preserve"> PAGEREF _Toc112136711 \h </w:instrText>
        </w:r>
        <w:r w:rsidR="006872F2">
          <w:rPr>
            <w:noProof/>
            <w:webHidden/>
          </w:rPr>
        </w:r>
        <w:r w:rsidR="006872F2">
          <w:rPr>
            <w:noProof/>
            <w:webHidden/>
          </w:rPr>
          <w:fldChar w:fldCharType="separate"/>
        </w:r>
        <w:r w:rsidR="006872F2">
          <w:rPr>
            <w:noProof/>
            <w:webHidden/>
          </w:rPr>
          <w:t>11</w:t>
        </w:r>
        <w:r w:rsidR="006872F2">
          <w:rPr>
            <w:noProof/>
            <w:webHidden/>
          </w:rPr>
          <w:fldChar w:fldCharType="end"/>
        </w:r>
      </w:hyperlink>
    </w:p>
    <w:p w14:paraId="2F0C5FA8" w14:textId="2555EBE0" w:rsidR="006872F2" w:rsidRDefault="002649D1">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12136712" w:history="1">
        <w:r w:rsidR="006872F2" w:rsidRPr="002852E1">
          <w:rPr>
            <w:rStyle w:val="Hyperlink"/>
            <w:noProof/>
          </w:rPr>
          <w:t>4</w:t>
        </w:r>
        <w:r w:rsidR="006872F2">
          <w:rPr>
            <w:rFonts w:eastAsiaTheme="minorEastAsia" w:cstheme="minorBidi"/>
            <w:b w:val="0"/>
            <w:bCs w:val="0"/>
            <w:caps w:val="0"/>
            <w:noProof/>
            <w:sz w:val="22"/>
            <w:szCs w:val="22"/>
            <w:lang w:val="en-AU" w:eastAsia="en-AU" w:bidi="ar-SA"/>
          </w:rPr>
          <w:tab/>
        </w:r>
        <w:r w:rsidR="006872F2" w:rsidRPr="002852E1">
          <w:rPr>
            <w:rStyle w:val="Hyperlink"/>
            <w:noProof/>
          </w:rPr>
          <w:t>References</w:t>
        </w:r>
        <w:r w:rsidR="006872F2">
          <w:rPr>
            <w:noProof/>
            <w:webHidden/>
          </w:rPr>
          <w:tab/>
        </w:r>
        <w:r w:rsidR="006872F2">
          <w:rPr>
            <w:noProof/>
            <w:webHidden/>
          </w:rPr>
          <w:fldChar w:fldCharType="begin"/>
        </w:r>
        <w:r w:rsidR="006872F2">
          <w:rPr>
            <w:noProof/>
            <w:webHidden/>
          </w:rPr>
          <w:instrText xml:space="preserve"> PAGEREF _Toc112136712 \h </w:instrText>
        </w:r>
        <w:r w:rsidR="006872F2">
          <w:rPr>
            <w:noProof/>
            <w:webHidden/>
          </w:rPr>
        </w:r>
        <w:r w:rsidR="006872F2">
          <w:rPr>
            <w:noProof/>
            <w:webHidden/>
          </w:rPr>
          <w:fldChar w:fldCharType="separate"/>
        </w:r>
        <w:r w:rsidR="006872F2">
          <w:rPr>
            <w:noProof/>
            <w:webHidden/>
          </w:rPr>
          <w:t>11</w:t>
        </w:r>
        <w:r w:rsidR="006872F2">
          <w:rPr>
            <w:noProof/>
            <w:webHidden/>
          </w:rPr>
          <w:fldChar w:fldCharType="end"/>
        </w:r>
      </w:hyperlink>
    </w:p>
    <w:p w14:paraId="08BE8A53" w14:textId="136EB7A5" w:rsidR="006872F2" w:rsidRDefault="002649D1">
      <w:pPr>
        <w:pStyle w:val="TOC2"/>
        <w:rPr>
          <w:rFonts w:eastAsiaTheme="minorEastAsia" w:cstheme="minorBidi"/>
          <w:smallCaps w:val="0"/>
          <w:noProof/>
          <w:sz w:val="22"/>
          <w:szCs w:val="22"/>
          <w:lang w:val="en-AU" w:eastAsia="en-AU" w:bidi="ar-SA"/>
        </w:rPr>
      </w:pPr>
      <w:hyperlink w:anchor="_Toc112136713" w:history="1">
        <w:r w:rsidR="006872F2" w:rsidRPr="002852E1">
          <w:rPr>
            <w:rStyle w:val="Hyperlink"/>
            <w:noProof/>
          </w:rPr>
          <w:t>Attachment A – Draft variation to the Australia New Zealand Food Standards Code</w:t>
        </w:r>
        <w:r w:rsidR="006872F2">
          <w:rPr>
            <w:noProof/>
            <w:webHidden/>
          </w:rPr>
          <w:tab/>
        </w:r>
        <w:r w:rsidR="006872F2">
          <w:rPr>
            <w:noProof/>
            <w:webHidden/>
          </w:rPr>
          <w:fldChar w:fldCharType="begin"/>
        </w:r>
        <w:r w:rsidR="006872F2">
          <w:rPr>
            <w:noProof/>
            <w:webHidden/>
          </w:rPr>
          <w:instrText xml:space="preserve"> PAGEREF _Toc112136713 \h </w:instrText>
        </w:r>
        <w:r w:rsidR="006872F2">
          <w:rPr>
            <w:noProof/>
            <w:webHidden/>
          </w:rPr>
        </w:r>
        <w:r w:rsidR="006872F2">
          <w:rPr>
            <w:noProof/>
            <w:webHidden/>
          </w:rPr>
          <w:fldChar w:fldCharType="separate"/>
        </w:r>
        <w:r w:rsidR="006872F2">
          <w:rPr>
            <w:noProof/>
            <w:webHidden/>
          </w:rPr>
          <w:t>13</w:t>
        </w:r>
        <w:r w:rsidR="006872F2">
          <w:rPr>
            <w:noProof/>
            <w:webHidden/>
          </w:rPr>
          <w:fldChar w:fldCharType="end"/>
        </w:r>
      </w:hyperlink>
    </w:p>
    <w:p w14:paraId="10CD40E9" w14:textId="037E9D2D" w:rsidR="006872F2" w:rsidRDefault="002649D1">
      <w:pPr>
        <w:pStyle w:val="TOC2"/>
        <w:rPr>
          <w:rFonts w:eastAsiaTheme="minorEastAsia" w:cstheme="minorBidi"/>
          <w:smallCaps w:val="0"/>
          <w:noProof/>
          <w:sz w:val="22"/>
          <w:szCs w:val="22"/>
          <w:lang w:val="en-AU" w:eastAsia="en-AU" w:bidi="ar-SA"/>
        </w:rPr>
      </w:pPr>
      <w:hyperlink w:anchor="_Toc112136714" w:history="1">
        <w:r w:rsidR="006872F2" w:rsidRPr="002852E1">
          <w:rPr>
            <w:rStyle w:val="Hyperlink"/>
            <w:noProof/>
          </w:rPr>
          <w:t>Attachment B – Draft Explanatory Statement</w:t>
        </w:r>
        <w:r w:rsidR="006872F2">
          <w:rPr>
            <w:noProof/>
            <w:webHidden/>
          </w:rPr>
          <w:tab/>
        </w:r>
        <w:r w:rsidR="006872F2">
          <w:rPr>
            <w:noProof/>
            <w:webHidden/>
          </w:rPr>
          <w:fldChar w:fldCharType="begin"/>
        </w:r>
        <w:r w:rsidR="006872F2">
          <w:rPr>
            <w:noProof/>
            <w:webHidden/>
          </w:rPr>
          <w:instrText xml:space="preserve"> PAGEREF _Toc112136714 \h </w:instrText>
        </w:r>
        <w:r w:rsidR="006872F2">
          <w:rPr>
            <w:noProof/>
            <w:webHidden/>
          </w:rPr>
        </w:r>
        <w:r w:rsidR="006872F2">
          <w:rPr>
            <w:noProof/>
            <w:webHidden/>
          </w:rPr>
          <w:fldChar w:fldCharType="separate"/>
        </w:r>
        <w:r w:rsidR="006872F2">
          <w:rPr>
            <w:noProof/>
            <w:webHidden/>
          </w:rPr>
          <w:t>15</w:t>
        </w:r>
        <w:r w:rsidR="006872F2">
          <w:rPr>
            <w:noProof/>
            <w:webHidden/>
          </w:rPr>
          <w:fldChar w:fldCharType="end"/>
        </w:r>
      </w:hyperlink>
    </w:p>
    <w:p w14:paraId="4CD810CE" w14:textId="2D3FEB4F" w:rsidR="00D73931" w:rsidRPr="00E203C2" w:rsidRDefault="00051ED9" w:rsidP="00051ED9">
      <w:r w:rsidRPr="002C4A91">
        <w:rPr>
          <w:rFonts w:cs="Arial"/>
          <w:sz w:val="20"/>
          <w:szCs w:val="20"/>
        </w:rPr>
        <w:fldChar w:fldCharType="end"/>
      </w:r>
    </w:p>
    <w:p w14:paraId="18099BDC" w14:textId="61218ECC" w:rsidR="0037520F" w:rsidRPr="008844E4" w:rsidRDefault="0037520F" w:rsidP="0037520F">
      <w:pPr>
        <w:rPr>
          <w:b/>
          <w:szCs w:val="22"/>
        </w:rPr>
      </w:pPr>
      <w:r w:rsidRPr="008844E4">
        <w:rPr>
          <w:b/>
          <w:szCs w:val="22"/>
        </w:rPr>
        <w:t>Supporting document</w:t>
      </w:r>
    </w:p>
    <w:p w14:paraId="43AD056A" w14:textId="77777777" w:rsidR="0037520F" w:rsidRPr="0089264A" w:rsidRDefault="0037520F" w:rsidP="0037520F">
      <w:pPr>
        <w:rPr>
          <w:szCs w:val="22"/>
        </w:rPr>
      </w:pPr>
    </w:p>
    <w:p w14:paraId="5FB579B7" w14:textId="77BE3A42" w:rsidR="0037520F" w:rsidRPr="004A423A" w:rsidRDefault="0037520F" w:rsidP="0037520F">
      <w:pPr>
        <w:rPr>
          <w:szCs w:val="22"/>
        </w:rPr>
      </w:pPr>
      <w:r w:rsidRPr="0089264A">
        <w:rPr>
          <w:szCs w:val="22"/>
        </w:rPr>
        <w:t xml:space="preserve">The </w:t>
      </w:r>
      <w:hyperlink r:id="rId25" w:history="1">
        <w:r w:rsidRPr="004A423A">
          <w:rPr>
            <w:rStyle w:val="Hyperlink"/>
            <w:szCs w:val="22"/>
          </w:rPr>
          <w:t>following document</w:t>
        </w:r>
      </w:hyperlink>
      <w:r w:rsidRPr="004A423A">
        <w:rPr>
          <w:szCs w:val="22"/>
        </w:rPr>
        <w:t xml:space="preserve"> </w:t>
      </w:r>
      <w:r w:rsidR="00681754">
        <w:rPr>
          <w:szCs w:val="22"/>
        </w:rPr>
        <w:t xml:space="preserve">which informed the assessment of this </w:t>
      </w:r>
      <w:r w:rsidR="008714FB" w:rsidRPr="00E76118">
        <w:rPr>
          <w:szCs w:val="22"/>
        </w:rPr>
        <w:t>Application</w:t>
      </w:r>
      <w:r w:rsidRPr="00E76118">
        <w:rPr>
          <w:szCs w:val="22"/>
        </w:rPr>
        <w:t xml:space="preserve"> </w:t>
      </w:r>
      <w:r w:rsidR="004A423A">
        <w:rPr>
          <w:szCs w:val="22"/>
        </w:rPr>
        <w:t>is</w:t>
      </w:r>
      <w:r w:rsidRPr="0089264A">
        <w:rPr>
          <w:szCs w:val="22"/>
        </w:rPr>
        <w:t xml:space="preserve"> available on </w:t>
      </w:r>
      <w:r w:rsidRPr="004A423A">
        <w:rPr>
          <w:szCs w:val="22"/>
        </w:rPr>
        <w:t>the FSANZ website</w:t>
      </w:r>
      <w:r w:rsidR="00820535" w:rsidRPr="004A423A">
        <w:rPr>
          <w:szCs w:val="22"/>
        </w:rPr>
        <w:t>:</w:t>
      </w:r>
    </w:p>
    <w:p w14:paraId="500B42E3" w14:textId="77777777" w:rsidR="0089264A" w:rsidRPr="0089264A" w:rsidRDefault="0089264A" w:rsidP="0089264A">
      <w:pPr>
        <w:rPr>
          <w:szCs w:val="22"/>
        </w:rPr>
      </w:pPr>
    </w:p>
    <w:p w14:paraId="5B11DD66" w14:textId="09676117" w:rsidR="0089264A" w:rsidRPr="00E76118" w:rsidRDefault="0089264A" w:rsidP="003A7725">
      <w:pPr>
        <w:ind w:left="1134" w:hanging="1134"/>
      </w:pPr>
      <w:r w:rsidRPr="00E76118">
        <w:t>SD1</w:t>
      </w:r>
      <w:r w:rsidRPr="00E76118">
        <w:tab/>
      </w:r>
      <w:r w:rsidR="008714FB" w:rsidRPr="00E76118">
        <w:t>Risk and technical assessment report</w:t>
      </w:r>
    </w:p>
    <w:p w14:paraId="57677136" w14:textId="77777777" w:rsidR="00051ED9" w:rsidRDefault="00562917" w:rsidP="00772BDC">
      <w:r w:rsidRPr="00E203C2">
        <w:br w:type="page"/>
      </w:r>
    </w:p>
    <w:p w14:paraId="366F18AF" w14:textId="51BACEEF" w:rsidR="00E063C6" w:rsidRDefault="00F33BB8" w:rsidP="000A5DF8">
      <w:pPr>
        <w:pStyle w:val="Heading1"/>
      </w:pPr>
      <w:bookmarkStart w:id="0" w:name="_Toc286391001"/>
      <w:bookmarkStart w:id="1" w:name="_Toc300933414"/>
      <w:bookmarkStart w:id="2" w:name="_Toc112136690"/>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5F12B2E9" w14:textId="3F85A763" w:rsidR="00D73931" w:rsidRDefault="00653794" w:rsidP="00D73931">
      <w:pPr>
        <w:rPr>
          <w:lang w:bidi="ar-SA"/>
        </w:rPr>
      </w:pPr>
      <w:r w:rsidRPr="00653794">
        <w:rPr>
          <w:lang w:bidi="ar-SA"/>
        </w:rPr>
        <w:t xml:space="preserve">The application seeks </w:t>
      </w:r>
      <w:r w:rsidRPr="00653794">
        <w:rPr>
          <w:rStyle w:val="normaltextrun"/>
          <w:shd w:val="clear" w:color="auto" w:fill="FFFFFF"/>
        </w:rPr>
        <w:t xml:space="preserve">to amend the Australia New Zealand Food Standards Code (the Code) to permit the use of the enzyme </w:t>
      </w:r>
      <w:r w:rsidRPr="00653794">
        <w:rPr>
          <w:lang w:bidi="ar-SA"/>
        </w:rPr>
        <w:t xml:space="preserve">alpha-amylase (EC 3.2.1.1) as a processing aid in the manufacture of bakery products such as bread, steamed bread, bread buns, tortillas, cakes, pancakes, and waffles. This alpha-amylase is produced from a genetically-modified (GM) strain of </w:t>
      </w:r>
      <w:r w:rsidRPr="00653794">
        <w:rPr>
          <w:i/>
          <w:lang w:bidi="ar-SA"/>
        </w:rPr>
        <w:t>Bacillus subtilis</w:t>
      </w:r>
      <w:r w:rsidRPr="00653794">
        <w:rPr>
          <w:lang w:bidi="ar-SA"/>
        </w:rPr>
        <w:t xml:space="preserve">, containing the alpha-amylase gene from </w:t>
      </w:r>
      <w:proofErr w:type="spellStart"/>
      <w:r w:rsidRPr="00653794">
        <w:rPr>
          <w:i/>
          <w:lang w:bidi="ar-SA"/>
        </w:rPr>
        <w:t>Thermoactinomyces</w:t>
      </w:r>
      <w:proofErr w:type="spellEnd"/>
      <w:r w:rsidRPr="00653794">
        <w:rPr>
          <w:i/>
          <w:lang w:bidi="ar-SA"/>
        </w:rPr>
        <w:t xml:space="preserve"> vulgaris</w:t>
      </w:r>
      <w:r w:rsidRPr="00653794">
        <w:rPr>
          <w:lang w:bidi="ar-SA"/>
        </w:rPr>
        <w:t>.</w:t>
      </w:r>
      <w:r w:rsidR="005A71E6">
        <w:rPr>
          <w:lang w:bidi="ar-SA"/>
        </w:rPr>
        <w:t xml:space="preserve"> Alpha-amylases from other sourc</w:t>
      </w:r>
      <w:r w:rsidR="00B819A3">
        <w:rPr>
          <w:lang w:bidi="ar-SA"/>
        </w:rPr>
        <w:t>e</w:t>
      </w:r>
      <w:r w:rsidR="005A71E6">
        <w:rPr>
          <w:lang w:bidi="ar-SA"/>
        </w:rPr>
        <w:t xml:space="preserve">s are </w:t>
      </w:r>
      <w:r w:rsidR="00B819A3">
        <w:rPr>
          <w:lang w:bidi="ar-SA"/>
        </w:rPr>
        <w:t>permitted in the Code.</w:t>
      </w:r>
    </w:p>
    <w:p w14:paraId="13524A63" w14:textId="11047B32" w:rsidR="000A3D8E" w:rsidRDefault="000A3D8E" w:rsidP="00D73931">
      <w:pPr>
        <w:rPr>
          <w:lang w:bidi="ar-SA"/>
        </w:rPr>
      </w:pPr>
      <w:r>
        <w:rPr>
          <w:lang w:bidi="ar-SA"/>
        </w:rPr>
        <w:t xml:space="preserve">Alpha-amylase breaks down </w:t>
      </w:r>
      <w:r w:rsidR="00DB6D5F">
        <w:rPr>
          <w:lang w:bidi="ar-SA"/>
        </w:rPr>
        <w:t xml:space="preserve">starch polysaccharides to produce </w:t>
      </w:r>
      <w:r w:rsidR="001340EB">
        <w:rPr>
          <w:lang w:bidi="ar-SA"/>
        </w:rPr>
        <w:t xml:space="preserve">large amounts of </w:t>
      </w:r>
      <w:r w:rsidR="00F145F0">
        <w:rPr>
          <w:lang w:bidi="ar-SA"/>
        </w:rPr>
        <w:t>shorter oligosaccharides</w:t>
      </w:r>
      <w:r w:rsidR="004E3AAD">
        <w:rPr>
          <w:lang w:bidi="ar-SA"/>
        </w:rPr>
        <w:t xml:space="preserve"> such as </w:t>
      </w:r>
      <w:proofErr w:type="spellStart"/>
      <w:r w:rsidR="004E3AAD">
        <w:rPr>
          <w:lang w:bidi="ar-SA"/>
        </w:rPr>
        <w:t>dextrins</w:t>
      </w:r>
      <w:proofErr w:type="spellEnd"/>
      <w:r w:rsidR="004E3AAD">
        <w:rPr>
          <w:lang w:bidi="ar-SA"/>
        </w:rPr>
        <w:t xml:space="preserve">. </w:t>
      </w:r>
      <w:proofErr w:type="spellStart"/>
      <w:r w:rsidR="00EF33EE">
        <w:rPr>
          <w:lang w:bidi="ar-SA"/>
        </w:rPr>
        <w:t>Dextrins</w:t>
      </w:r>
      <w:proofErr w:type="spellEnd"/>
      <w:r w:rsidR="00EF33EE">
        <w:rPr>
          <w:lang w:bidi="ar-SA"/>
        </w:rPr>
        <w:t xml:space="preserve"> are fermented by yeast, and</w:t>
      </w:r>
      <w:r w:rsidR="00D3390F">
        <w:rPr>
          <w:lang w:bidi="ar-SA"/>
        </w:rPr>
        <w:t xml:space="preserve"> </w:t>
      </w:r>
      <w:r w:rsidR="00694D70">
        <w:rPr>
          <w:lang w:bidi="ar-SA"/>
        </w:rPr>
        <w:t xml:space="preserve">increased dextrin fermentation </w:t>
      </w:r>
      <w:r w:rsidR="006E7C53">
        <w:rPr>
          <w:lang w:bidi="ar-SA"/>
        </w:rPr>
        <w:t>improves the volume and texture</w:t>
      </w:r>
      <w:r w:rsidR="00694D70">
        <w:rPr>
          <w:lang w:bidi="ar-SA"/>
        </w:rPr>
        <w:t xml:space="preserve"> </w:t>
      </w:r>
      <w:r w:rsidR="00185B63">
        <w:rPr>
          <w:lang w:bidi="ar-SA"/>
        </w:rPr>
        <w:t xml:space="preserve">of </w:t>
      </w:r>
      <w:r w:rsidR="00694D70">
        <w:rPr>
          <w:lang w:bidi="ar-SA"/>
        </w:rPr>
        <w:t xml:space="preserve">the </w:t>
      </w:r>
      <w:r w:rsidR="00185B63">
        <w:rPr>
          <w:lang w:bidi="ar-SA"/>
        </w:rPr>
        <w:t>bakery products</w:t>
      </w:r>
      <w:r w:rsidR="00145F00">
        <w:rPr>
          <w:lang w:bidi="ar-SA"/>
        </w:rPr>
        <w:t xml:space="preserve">. </w:t>
      </w:r>
      <w:r w:rsidR="001D2718">
        <w:rPr>
          <w:lang w:bidi="ar-SA"/>
        </w:rPr>
        <w:t xml:space="preserve">The addition of </w:t>
      </w:r>
      <w:r w:rsidR="00A217D2">
        <w:rPr>
          <w:lang w:bidi="ar-SA"/>
        </w:rPr>
        <w:t xml:space="preserve">alpha-amylase </w:t>
      </w:r>
      <w:r w:rsidR="00BA0BF5">
        <w:rPr>
          <w:lang w:bidi="ar-SA"/>
        </w:rPr>
        <w:t xml:space="preserve">during manufacture </w:t>
      </w:r>
      <w:r w:rsidR="00A217D2">
        <w:rPr>
          <w:lang w:bidi="ar-SA"/>
        </w:rPr>
        <w:t>can also reduce the rate of staling</w:t>
      </w:r>
      <w:r w:rsidR="00BA0BF5">
        <w:rPr>
          <w:lang w:bidi="ar-SA"/>
        </w:rPr>
        <w:t xml:space="preserve"> of bakery products</w:t>
      </w:r>
      <w:r w:rsidR="00453CA0">
        <w:rPr>
          <w:lang w:bidi="ar-SA"/>
        </w:rPr>
        <w:t>.</w:t>
      </w:r>
    </w:p>
    <w:p w14:paraId="0BFECCAA" w14:textId="2BECEB80" w:rsidR="00453CA0" w:rsidRDefault="00D91BE2" w:rsidP="00D73931">
      <w:pPr>
        <w:rPr>
          <w:lang w:bidi="ar-SA"/>
        </w:rPr>
      </w:pPr>
      <w:r>
        <w:rPr>
          <w:i/>
          <w:iCs/>
          <w:lang w:bidi="ar-SA"/>
        </w:rPr>
        <w:t>B. subtilis</w:t>
      </w:r>
      <w:r w:rsidR="003E66B6">
        <w:rPr>
          <w:lang w:bidi="ar-SA"/>
        </w:rPr>
        <w:t xml:space="preserve"> </w:t>
      </w:r>
      <w:r w:rsidR="001B7CE4">
        <w:rPr>
          <w:lang w:bidi="ar-SA"/>
        </w:rPr>
        <w:t>is neither toxigenic nor pathogenic</w:t>
      </w:r>
      <w:r w:rsidR="00E0032C">
        <w:rPr>
          <w:lang w:bidi="ar-SA"/>
        </w:rPr>
        <w:t xml:space="preserve"> and has a long history of safe use as a source of enzyme processing aids, including several already permitted in the Code. Analysis of the production strain confirmed the presence and stability of the inserted DNA.</w:t>
      </w:r>
    </w:p>
    <w:p w14:paraId="4FFBAFC3" w14:textId="21BCC791" w:rsidR="00401D8C" w:rsidRDefault="00AA58C9" w:rsidP="00401D8C">
      <w:pPr>
        <w:rPr>
          <w:lang w:bidi="ar-SA"/>
        </w:rPr>
      </w:pPr>
      <w:r>
        <w:rPr>
          <w:lang w:bidi="ar-SA"/>
        </w:rPr>
        <w:t xml:space="preserve">FSANZ has completed a </w:t>
      </w:r>
      <w:r w:rsidR="00401D8C">
        <w:rPr>
          <w:lang w:bidi="ar-SA"/>
        </w:rPr>
        <w:t>risk assessment</w:t>
      </w:r>
      <w:r>
        <w:rPr>
          <w:lang w:bidi="ar-SA"/>
        </w:rPr>
        <w:t xml:space="preserve"> and </w:t>
      </w:r>
      <w:r w:rsidR="00401D8C">
        <w:rPr>
          <w:lang w:bidi="ar-SA"/>
        </w:rPr>
        <w:t>concludes there are no public health and safety concerns associated with the proposed use of this alpha-amylase enzyme. In the absence of any identifiable hazard, an acceptable daily intake (ADI) of ‘not specified’ is appropriate.</w:t>
      </w:r>
    </w:p>
    <w:p w14:paraId="05929B7E" w14:textId="77777777" w:rsidR="00401D8C" w:rsidRDefault="00401D8C" w:rsidP="00401D8C">
      <w:pPr>
        <w:rPr>
          <w:lang w:bidi="ar-SA"/>
        </w:rPr>
      </w:pPr>
      <w:r>
        <w:rPr>
          <w:lang w:bidi="ar-SA"/>
        </w:rPr>
        <w:t>The application clearly states the technological purpose of the enzyme. It contains adequate evidence that the proposed use of the enzyme in the recommended form and quantity is technologically justified and has been demonstrated to be effective in achieving its stated purpose. The enzyme meets international purity specifications.</w:t>
      </w:r>
    </w:p>
    <w:p w14:paraId="697D0387" w14:textId="1AA96874" w:rsidR="00867C68" w:rsidRDefault="00867C68" w:rsidP="00867C68">
      <w:pPr>
        <w:rPr>
          <w:lang w:bidi="ar-SA"/>
        </w:rPr>
      </w:pPr>
      <w:r>
        <w:rPr>
          <w:lang w:bidi="ar-SA"/>
        </w:rPr>
        <w:t>FSANZ has therefore prepared a draft variation to the Code, which if approved, would list the enzyme alpha-amylase</w:t>
      </w:r>
      <w:r>
        <w:rPr>
          <w:lang w:eastAsia="en-AU" w:bidi="ar-SA"/>
        </w:rPr>
        <w:t xml:space="preserve"> </w:t>
      </w:r>
      <w:r>
        <w:t xml:space="preserve">derived from a GM strain of </w:t>
      </w:r>
      <w:r>
        <w:rPr>
          <w:i/>
        </w:rPr>
        <w:t>B. subtilis</w:t>
      </w:r>
      <w:r>
        <w:t xml:space="preserve">, </w:t>
      </w:r>
      <w:r>
        <w:rPr>
          <w:szCs w:val="18"/>
        </w:rPr>
        <w:t xml:space="preserve">containing the alpha-amylase gene from </w:t>
      </w:r>
      <w:r>
        <w:rPr>
          <w:i/>
          <w:szCs w:val="18"/>
        </w:rPr>
        <w:t>T. vulgaris</w:t>
      </w:r>
      <w:r>
        <w:t xml:space="preserve">, </w:t>
      </w:r>
      <w:r>
        <w:rPr>
          <w:lang w:bidi="ar-SA"/>
        </w:rPr>
        <w:t xml:space="preserve">in the table to subsection S18—9(3) </w:t>
      </w:r>
      <w:r>
        <w:t xml:space="preserve">as a permitted processing aid for use in the manufacture of bakery products. This permission would be subject </w:t>
      </w:r>
      <w:r>
        <w:rPr>
          <w:lang w:bidi="ar-SA"/>
        </w:rPr>
        <w:t xml:space="preserve">to the condition that </w:t>
      </w:r>
      <w:r>
        <w:t xml:space="preserve">the maximum permitted level or amount of the enzyme that may be present in the food must be consistent with </w:t>
      </w:r>
      <w:r w:rsidR="00230A5D">
        <w:t>G</w:t>
      </w:r>
      <w:r>
        <w:t xml:space="preserve">ood </w:t>
      </w:r>
      <w:r w:rsidR="00230A5D">
        <w:t>M</w:t>
      </w:r>
      <w:r>
        <w:t xml:space="preserve">anufacturing </w:t>
      </w:r>
      <w:r w:rsidR="00230A5D">
        <w:t>P</w:t>
      </w:r>
      <w:r>
        <w:t>ractice</w:t>
      </w:r>
      <w:r>
        <w:rPr>
          <w:lang w:bidi="ar-SA"/>
        </w:rPr>
        <w:t>.</w:t>
      </w:r>
    </w:p>
    <w:p w14:paraId="7BFD3086" w14:textId="77777777" w:rsidR="00867C68" w:rsidRDefault="00867C68" w:rsidP="00867C68">
      <w:r>
        <w:t>FSANZ now seeks submissions to assist consideration of the draft variation to the Code.</w:t>
      </w:r>
    </w:p>
    <w:p w14:paraId="1EF245F1" w14:textId="77777777" w:rsidR="00401D8C" w:rsidRPr="003E66B6" w:rsidRDefault="00401D8C" w:rsidP="00D73931">
      <w:pPr>
        <w:rPr>
          <w:lang w:bidi="ar-SA"/>
        </w:rPr>
      </w:pPr>
    </w:p>
    <w:p w14:paraId="6B667D78" w14:textId="77777777" w:rsidR="0053464E" w:rsidRDefault="0053464E" w:rsidP="00A56E34">
      <w:bookmarkStart w:id="8" w:name="_Toc286391003"/>
      <w:r>
        <w:br w:type="page"/>
      </w:r>
    </w:p>
    <w:p w14:paraId="55E842DA" w14:textId="77777777" w:rsidR="002A5F8B" w:rsidRPr="000B6AF2" w:rsidRDefault="00F33BB8" w:rsidP="000B6AF2">
      <w:pPr>
        <w:pStyle w:val="Heading1"/>
      </w:pPr>
      <w:bookmarkStart w:id="9" w:name="_Toc300933417"/>
      <w:bookmarkStart w:id="10" w:name="_Toc112136691"/>
      <w:r>
        <w:lastRenderedPageBreak/>
        <w:t>1</w:t>
      </w:r>
      <w:r w:rsidR="001542D8">
        <w:tab/>
      </w:r>
      <w:r w:rsidR="002A5F8B" w:rsidRPr="000B6AF2">
        <w:t>Introduction</w:t>
      </w:r>
      <w:bookmarkEnd w:id="8"/>
      <w:bookmarkEnd w:id="9"/>
      <w:bookmarkEnd w:id="10"/>
    </w:p>
    <w:p w14:paraId="4A599284" w14:textId="52DFFD3A" w:rsidR="0053464E" w:rsidRPr="0053464E" w:rsidRDefault="00F33BB8" w:rsidP="00A56E34">
      <w:pPr>
        <w:pStyle w:val="Heading2"/>
      </w:pPr>
      <w:bookmarkStart w:id="11" w:name="_Toc300761890"/>
      <w:bookmarkStart w:id="12" w:name="_Toc300933419"/>
      <w:bookmarkStart w:id="13" w:name="_Toc112136692"/>
      <w:r>
        <w:t>1</w:t>
      </w:r>
      <w:r w:rsidR="0053464E" w:rsidRPr="0053464E">
        <w:t>.1</w:t>
      </w:r>
      <w:r w:rsidR="0053464E" w:rsidRPr="0053464E">
        <w:tab/>
        <w:t xml:space="preserve">The </w:t>
      </w:r>
      <w:r w:rsidR="00C820AD">
        <w:t>a</w:t>
      </w:r>
      <w:r w:rsidR="0053464E" w:rsidRPr="0053464E">
        <w:t>pplicant</w:t>
      </w:r>
      <w:bookmarkEnd w:id="11"/>
      <w:bookmarkEnd w:id="12"/>
      <w:bookmarkEnd w:id="13"/>
    </w:p>
    <w:p w14:paraId="6956AC50" w14:textId="40761D43" w:rsidR="0053464E" w:rsidRPr="00E76118" w:rsidRDefault="00E76118" w:rsidP="0053464E">
      <w:r w:rsidRPr="00E76118">
        <w:rPr>
          <w:rStyle w:val="normaltextrun"/>
          <w:shd w:val="clear" w:color="auto" w:fill="FFFFFF"/>
        </w:rPr>
        <w:t>The applicant is AB Enzymes GmbH (AB Enzymes), an industrial biotech company that develops enzyme products for food, animal feed and technical applications.</w:t>
      </w:r>
    </w:p>
    <w:p w14:paraId="3D1D7B83" w14:textId="4596ACF4" w:rsidR="0053464E" w:rsidRPr="00E76118" w:rsidRDefault="00F33BB8" w:rsidP="00A56E34">
      <w:pPr>
        <w:pStyle w:val="Heading2"/>
      </w:pPr>
      <w:bookmarkStart w:id="14" w:name="_Toc300761891"/>
      <w:bookmarkStart w:id="15" w:name="_Toc300933420"/>
      <w:bookmarkStart w:id="16" w:name="_Toc112136693"/>
      <w:r w:rsidRPr="00E76118">
        <w:t>1</w:t>
      </w:r>
      <w:r w:rsidR="0053464E" w:rsidRPr="00E76118">
        <w:t>.2</w:t>
      </w:r>
      <w:r w:rsidR="0053464E" w:rsidRPr="00E76118">
        <w:tab/>
        <w:t xml:space="preserve">The </w:t>
      </w:r>
      <w:r w:rsidR="009539A7">
        <w:t>a</w:t>
      </w:r>
      <w:r w:rsidR="0053464E" w:rsidRPr="00E76118">
        <w:t>pplication</w:t>
      </w:r>
      <w:bookmarkEnd w:id="14"/>
      <w:bookmarkEnd w:id="15"/>
      <w:bookmarkEnd w:id="16"/>
    </w:p>
    <w:p w14:paraId="2F18337F" w14:textId="00414D3C" w:rsidR="0053464E" w:rsidRDefault="1F6BE4B7" w:rsidP="0053464E">
      <w:pPr>
        <w:rPr>
          <w:lang w:bidi="ar-SA"/>
        </w:rPr>
      </w:pPr>
      <w:r>
        <w:rPr>
          <w:rStyle w:val="normaltextrun"/>
          <w:color w:val="000000"/>
          <w:shd w:val="clear" w:color="auto" w:fill="FFFFFF"/>
        </w:rPr>
        <w:t xml:space="preserve">The purpose of the application is to amend the Australia New Zealand Food Standards Code (the Code) to permit the use of the enzyme </w:t>
      </w:r>
      <w:r>
        <w:rPr>
          <w:lang w:bidi="ar-SA"/>
        </w:rPr>
        <w:t xml:space="preserve">alpha-amylase (EC 3.2.1.1) as a processing aid in </w:t>
      </w:r>
      <w:r w:rsidR="5E73C81B">
        <w:rPr>
          <w:lang w:bidi="ar-SA"/>
        </w:rPr>
        <w:t xml:space="preserve">the manufacture of </w:t>
      </w:r>
      <w:r>
        <w:rPr>
          <w:lang w:bidi="ar-SA"/>
        </w:rPr>
        <w:t xml:space="preserve">bakery products such as bread, steamed bread, bread buns, tortillas, cakes, pancakes, and waffles. This alpha-amylase is produced from a </w:t>
      </w:r>
      <w:r w:rsidR="051FD9BA">
        <w:rPr>
          <w:lang w:bidi="ar-SA"/>
        </w:rPr>
        <w:t>genetically modified</w:t>
      </w:r>
      <w:r>
        <w:rPr>
          <w:lang w:bidi="ar-SA"/>
        </w:rPr>
        <w:t xml:space="preserve"> (GM) strain of </w:t>
      </w:r>
      <w:r w:rsidRPr="2914F20C">
        <w:rPr>
          <w:i/>
          <w:iCs/>
          <w:lang w:bidi="ar-SA"/>
        </w:rPr>
        <w:t>Bacillus subtilis</w:t>
      </w:r>
      <w:r w:rsidRPr="005C30F7">
        <w:rPr>
          <w:lang w:bidi="ar-SA"/>
        </w:rPr>
        <w:t xml:space="preserve">, containing the alpha-amylase gene from </w:t>
      </w:r>
      <w:proofErr w:type="spellStart"/>
      <w:r w:rsidRPr="2914F20C">
        <w:rPr>
          <w:i/>
          <w:iCs/>
          <w:lang w:bidi="ar-SA"/>
        </w:rPr>
        <w:t>Thermoactinomyces</w:t>
      </w:r>
      <w:proofErr w:type="spellEnd"/>
      <w:r w:rsidRPr="2914F20C">
        <w:rPr>
          <w:i/>
          <w:iCs/>
          <w:lang w:bidi="ar-SA"/>
        </w:rPr>
        <w:t xml:space="preserve"> vulgaris</w:t>
      </w:r>
      <w:r w:rsidRPr="005C30F7">
        <w:rPr>
          <w:lang w:bidi="ar-SA"/>
        </w:rPr>
        <w:t>.</w:t>
      </w:r>
    </w:p>
    <w:p w14:paraId="17028CA9" w14:textId="2F63BC19" w:rsidR="004A423A" w:rsidRDefault="004A423A" w:rsidP="004A423A">
      <w:pPr>
        <w:rPr>
          <w:color w:val="000000" w:themeColor="text1"/>
        </w:rPr>
      </w:pPr>
      <w:r w:rsidRPr="00DE7886">
        <w:rPr>
          <w:color w:val="000000" w:themeColor="text1"/>
        </w:rPr>
        <w:t xml:space="preserve">The applicant </w:t>
      </w:r>
      <w:r>
        <w:rPr>
          <w:color w:val="000000" w:themeColor="text1"/>
        </w:rPr>
        <w:t xml:space="preserve">markets a </w:t>
      </w:r>
      <w:r w:rsidR="000A7AA5">
        <w:rPr>
          <w:color w:val="000000" w:themeColor="text1"/>
        </w:rPr>
        <w:t xml:space="preserve">powdered </w:t>
      </w:r>
      <w:r w:rsidRPr="00DE7886">
        <w:rPr>
          <w:color w:val="000000" w:themeColor="text1"/>
        </w:rPr>
        <w:t>preparation containing this enzyme</w:t>
      </w:r>
      <w:r>
        <w:rPr>
          <w:color w:val="000000" w:themeColor="text1"/>
        </w:rPr>
        <w:t xml:space="preserve"> as the active component, under the name VERON ® 1000, in other countries where its use is permitted (see Section 2.4.3 of this report)</w:t>
      </w:r>
      <w:r w:rsidRPr="00DE7886">
        <w:rPr>
          <w:color w:val="000000" w:themeColor="text1"/>
        </w:rPr>
        <w:t>.</w:t>
      </w:r>
    </w:p>
    <w:p w14:paraId="1C94F67E" w14:textId="77777777" w:rsidR="00623BD5" w:rsidRPr="00DE7886" w:rsidRDefault="00623BD5" w:rsidP="00623BD5">
      <w:pPr>
        <w:rPr>
          <w:color w:val="000000" w:themeColor="text1"/>
        </w:rPr>
      </w:pPr>
      <w:r w:rsidRPr="18D19AF7">
        <w:rPr>
          <w:color w:val="000000" w:themeColor="text1"/>
        </w:rPr>
        <w:t>The applicant has indicated the enzyme is to be used in accordance with Good Manufacturing Practice (GMP) i.e. the minimum amount is used to achieve the technological purpose.</w:t>
      </w:r>
    </w:p>
    <w:p w14:paraId="4E7C5FFC" w14:textId="77777777" w:rsidR="0053464E" w:rsidRPr="0053464E" w:rsidRDefault="00F33BB8" w:rsidP="00A56E34">
      <w:pPr>
        <w:pStyle w:val="Heading2"/>
      </w:pPr>
      <w:bookmarkStart w:id="17" w:name="_Toc300761892"/>
      <w:bookmarkStart w:id="18" w:name="_Toc300933421"/>
      <w:bookmarkStart w:id="19" w:name="_Toc112136694"/>
      <w:r>
        <w:t>1</w:t>
      </w:r>
      <w:r w:rsidR="00A56E34">
        <w:t>.3</w:t>
      </w:r>
      <w:r w:rsidR="00A56E34">
        <w:tab/>
        <w:t>The c</w:t>
      </w:r>
      <w:r w:rsidR="0053464E" w:rsidRPr="0053464E">
        <w:t xml:space="preserve">urrent </w:t>
      </w:r>
      <w:r w:rsidR="00E72650">
        <w:t>s</w:t>
      </w:r>
      <w:r w:rsidR="0053464E" w:rsidRPr="0053464E">
        <w:t>tandard</w:t>
      </w:r>
      <w:bookmarkEnd w:id="17"/>
      <w:bookmarkEnd w:id="18"/>
      <w:bookmarkEnd w:id="19"/>
    </w:p>
    <w:p w14:paraId="147B2004" w14:textId="58FCCA32" w:rsidR="0053464E" w:rsidRDefault="00E76118" w:rsidP="0053464E">
      <w:pPr>
        <w:rPr>
          <w:rStyle w:val="normaltextrun"/>
          <w:rFonts w:cs="Arial"/>
          <w:color w:val="000000"/>
          <w:szCs w:val="22"/>
          <w:shd w:val="clear" w:color="auto" w:fill="FFFFFF"/>
        </w:rPr>
      </w:pPr>
      <w:r>
        <w:rPr>
          <w:rStyle w:val="normaltextrun"/>
          <w:rFonts w:cs="Arial"/>
          <w:color w:val="000000"/>
          <w:szCs w:val="22"/>
          <w:shd w:val="clear" w:color="auto" w:fill="FFFFFF"/>
        </w:rPr>
        <w:t>Australian and New Zealand food laws require food for sale to comply with relevant requirements in the Code. The requirements relevant to this application are summarised below.</w:t>
      </w:r>
    </w:p>
    <w:p w14:paraId="679C8617" w14:textId="4DAE3B79" w:rsidR="005C30F7" w:rsidRPr="005C30F7" w:rsidRDefault="005C30F7" w:rsidP="005C30F7">
      <w:pPr>
        <w:widowControl w:val="0"/>
        <w:rPr>
          <w:b/>
          <w:bCs/>
        </w:rPr>
      </w:pPr>
      <w:r w:rsidRPr="005C30F7">
        <w:rPr>
          <w:b/>
          <w:bCs/>
          <w:i/>
          <w:iCs/>
        </w:rPr>
        <w:t>1.3.1</w:t>
      </w:r>
      <w:r w:rsidRPr="005C30F7">
        <w:t xml:space="preserve"> </w:t>
      </w:r>
      <w:r w:rsidRPr="005C30F7">
        <w:rPr>
          <w:b/>
          <w:bCs/>
          <w:i/>
          <w:iCs/>
        </w:rPr>
        <w:t>Permitted use</w:t>
      </w:r>
    </w:p>
    <w:p w14:paraId="7AD11816" w14:textId="283FF235" w:rsidR="005C30F7" w:rsidRPr="005C30F7" w:rsidRDefault="005C30F7" w:rsidP="005C30F7">
      <w:r w:rsidRPr="005C30F7">
        <w:rPr>
          <w:lang w:val="en-US"/>
        </w:rPr>
        <w:t>Enzymes used to process and manufacture food are considered processing aids. Although they may be present in the final food, they no longer provide a technological purpose in the final food.</w:t>
      </w:r>
    </w:p>
    <w:p w14:paraId="42960E3C" w14:textId="62B8ADB9" w:rsidR="005C30F7" w:rsidRPr="005C30F7" w:rsidRDefault="005C30F7" w:rsidP="005C30F7">
      <w:r w:rsidRPr="005C30F7">
        <w:rPr>
          <w:lang w:val="en-US"/>
        </w:rPr>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w:t>
      </w:r>
      <w:r>
        <w:rPr>
          <w:lang w:val="en-US"/>
        </w:rPr>
        <w:t>s all the following conditions:</w:t>
      </w:r>
    </w:p>
    <w:p w14:paraId="11ACF296" w14:textId="4B32FB8D" w:rsidR="005C30F7" w:rsidRPr="005C30F7" w:rsidRDefault="005C30F7" w:rsidP="005C30F7">
      <w:pPr>
        <w:widowControl w:val="0"/>
        <w:numPr>
          <w:ilvl w:val="0"/>
          <w:numId w:val="10"/>
        </w:numPr>
        <w:ind w:left="714" w:hanging="357"/>
        <w:contextualSpacing/>
      </w:pPr>
      <w:r w:rsidRPr="005C30F7">
        <w:rPr>
          <w:lang w:val="en-US"/>
        </w:rPr>
        <w:t>it is used to perform a technological purpose during processing,</w:t>
      </w:r>
    </w:p>
    <w:p w14:paraId="32E30F5A" w14:textId="0E46FA87" w:rsidR="005C30F7" w:rsidRPr="005C30F7" w:rsidRDefault="005C30F7" w:rsidP="005C30F7">
      <w:pPr>
        <w:widowControl w:val="0"/>
        <w:numPr>
          <w:ilvl w:val="0"/>
          <w:numId w:val="10"/>
        </w:numPr>
        <w:ind w:left="714" w:hanging="357"/>
        <w:contextualSpacing/>
      </w:pPr>
      <w:r w:rsidRPr="005C30F7">
        <w:rPr>
          <w:lang w:val="en-US"/>
        </w:rPr>
        <w:t>it does not perform a technological purpose in the food for sale, and</w:t>
      </w:r>
    </w:p>
    <w:p w14:paraId="233AE52B" w14:textId="22100135" w:rsidR="005C30F7" w:rsidRPr="005C30F7" w:rsidRDefault="005C30F7" w:rsidP="005C30F7">
      <w:pPr>
        <w:widowControl w:val="0"/>
        <w:numPr>
          <w:ilvl w:val="0"/>
          <w:numId w:val="10"/>
        </w:numPr>
        <w:ind w:left="714" w:hanging="357"/>
      </w:pPr>
      <w:r w:rsidRPr="005C30F7">
        <w:rPr>
          <w:lang w:val="en-US"/>
        </w:rPr>
        <w:t>it is a substance listed in Schedule 18 or identified in section S16—2 as an additive permitted at GMP.</w:t>
      </w:r>
    </w:p>
    <w:p w14:paraId="25766C21" w14:textId="2889FE72" w:rsidR="005C30F7" w:rsidRPr="005C30F7" w:rsidRDefault="005C30F7" w:rsidP="005E3E6C">
      <w:r w:rsidRPr="005C30F7">
        <w:rPr>
          <w:lang w:val="en-US"/>
        </w:rPr>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w:t>
      </w:r>
      <w:r w:rsidRPr="005C30F7">
        <w:rPr>
          <w:lang w:val="en-US"/>
        </w:rPr>
        <w:lastRenderedPageBreak/>
        <w:t xml:space="preserve">table to subsection S18—9(3) lists those substances, including enzymes derived from </w:t>
      </w:r>
      <w:r w:rsidR="005E3E6C">
        <w:rPr>
          <w:lang w:val="en-US"/>
        </w:rPr>
        <w:t xml:space="preserve">particular </w:t>
      </w:r>
      <w:r w:rsidRPr="005C30F7">
        <w:rPr>
          <w:lang w:val="en-US"/>
        </w:rPr>
        <w:t>sources, that are permitted to be used as processing aids for specific technological purposes in relation to:</w:t>
      </w:r>
    </w:p>
    <w:p w14:paraId="4B1EE8BB" w14:textId="76AD4442" w:rsidR="005C30F7" w:rsidRPr="005C30F7" w:rsidRDefault="005C30F7" w:rsidP="005E3E6C">
      <w:pPr>
        <w:widowControl w:val="0"/>
        <w:numPr>
          <w:ilvl w:val="0"/>
          <w:numId w:val="10"/>
        </w:numPr>
        <w:ind w:left="714" w:hanging="357"/>
        <w:contextualSpacing/>
        <w:rPr>
          <w:lang w:val="en-US"/>
        </w:rPr>
      </w:pPr>
      <w:r w:rsidRPr="005C30F7">
        <w:rPr>
          <w:lang w:val="en-US"/>
        </w:rPr>
        <w:t>if a food is specified—that food, or</w:t>
      </w:r>
    </w:p>
    <w:p w14:paraId="7BD3375B" w14:textId="1BCFB408" w:rsidR="005C30F7" w:rsidRPr="005C30F7" w:rsidRDefault="005C30F7" w:rsidP="005E3E6C">
      <w:pPr>
        <w:widowControl w:val="0"/>
        <w:numPr>
          <w:ilvl w:val="0"/>
          <w:numId w:val="10"/>
        </w:numPr>
        <w:ind w:left="714" w:hanging="357"/>
        <w:rPr>
          <w:lang w:val="en-US"/>
        </w:rPr>
      </w:pPr>
      <w:r w:rsidRPr="005C30F7">
        <w:rPr>
          <w:lang w:val="en-US"/>
        </w:rPr>
        <w:t>if</w:t>
      </w:r>
      <w:r>
        <w:rPr>
          <w:lang w:val="en-US"/>
        </w:rPr>
        <w:t xml:space="preserve"> no food is specified—any food.</w:t>
      </w:r>
    </w:p>
    <w:p w14:paraId="16EBFEBF" w14:textId="2F8E4AE3" w:rsidR="005C30F7" w:rsidRPr="005C30F7" w:rsidRDefault="005C30F7" w:rsidP="005E3E6C">
      <w:r w:rsidRPr="005C30F7">
        <w:rPr>
          <w:lang w:val="en-US"/>
        </w:rPr>
        <w:t>Additionally, paragraph 1.3.3—11(c) specifies that the substance may only be used as a processing aid if it is not present in the food at greater than the maximum permitted level for that substance indicated in the table to section S18—9.</w:t>
      </w:r>
    </w:p>
    <w:p w14:paraId="76989C75" w14:textId="67FCDDDD" w:rsidR="005C30F7" w:rsidRPr="005C30F7" w:rsidRDefault="005C30F7" w:rsidP="005C30F7">
      <w:r w:rsidRPr="005C30F7">
        <w:rPr>
          <w:lang w:val="en-US"/>
        </w:rPr>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311C860B" w14:textId="3A256CE9" w:rsidR="005E3E6C" w:rsidRPr="00F84EDC" w:rsidRDefault="005E3E6C" w:rsidP="005E3E6C">
      <w:r>
        <w:t xml:space="preserve">Alpha-amylase is already permitted to be used as a processing aid by the Code including from plant sources (malted cereals (subsection </w:t>
      </w:r>
      <w:r w:rsidRPr="00D97248">
        <w:t>S18—4(4)), and from</w:t>
      </w:r>
      <w:r>
        <w:t xml:space="preserve"> various microbial origins including </w:t>
      </w:r>
      <w:r w:rsidRPr="00D97248">
        <w:rPr>
          <w:i/>
        </w:rPr>
        <w:t>B</w:t>
      </w:r>
      <w:r>
        <w:rPr>
          <w:i/>
        </w:rPr>
        <w:t>.</w:t>
      </w:r>
      <w:r w:rsidRPr="00D97248">
        <w:rPr>
          <w:i/>
        </w:rPr>
        <w:t xml:space="preserve"> </w:t>
      </w:r>
      <w:r>
        <w:rPr>
          <w:i/>
        </w:rPr>
        <w:t xml:space="preserve">subtilis </w:t>
      </w:r>
      <w:r>
        <w:rPr>
          <w:color w:val="000000" w:themeColor="text1"/>
        </w:rPr>
        <w:t xml:space="preserve">(subsections </w:t>
      </w:r>
      <w:r w:rsidRPr="00D97248">
        <w:rPr>
          <w:color w:val="000000" w:themeColor="text1"/>
        </w:rPr>
        <w:t>S18</w:t>
      </w:r>
      <w:r w:rsidRPr="00D97248">
        <w:t>—4(</w:t>
      </w:r>
      <w:r>
        <w:t>5</w:t>
      </w:r>
      <w:r w:rsidRPr="00D97248">
        <w:t>) and S18—9</w:t>
      </w:r>
      <w:r>
        <w:t>(3)</w:t>
      </w:r>
      <w:r w:rsidRPr="00D97248">
        <w:t>)</w:t>
      </w:r>
      <w:r>
        <w:t>,</w:t>
      </w:r>
      <w:r w:rsidRPr="00D97248">
        <w:t xml:space="preserve"> however</w:t>
      </w:r>
      <w:r>
        <w:t xml:space="preserve"> not from </w:t>
      </w:r>
      <w:r w:rsidRPr="00DE7886">
        <w:rPr>
          <w:i/>
          <w:color w:val="000000" w:themeColor="text1"/>
        </w:rPr>
        <w:t xml:space="preserve">B. </w:t>
      </w:r>
      <w:r>
        <w:rPr>
          <w:i/>
          <w:color w:val="000000" w:themeColor="text1"/>
        </w:rPr>
        <w:t>subtilis</w:t>
      </w:r>
      <w:r w:rsidRPr="00DE7886">
        <w:rPr>
          <w:color w:val="000000" w:themeColor="text1"/>
        </w:rPr>
        <w:t xml:space="preserve"> carrying the alpha-amylase gene from </w:t>
      </w:r>
      <w:r>
        <w:rPr>
          <w:i/>
          <w:color w:val="000000" w:themeColor="text1"/>
        </w:rPr>
        <w:t>T. vulgaris</w:t>
      </w:r>
      <w:r>
        <w:rPr>
          <w:color w:val="000000" w:themeColor="text1"/>
        </w:rPr>
        <w:t xml:space="preserve"> as requested by the applicant.</w:t>
      </w:r>
    </w:p>
    <w:p w14:paraId="2796964C" w14:textId="03862268" w:rsidR="005C30F7" w:rsidRPr="005C30F7" w:rsidRDefault="005C30F7" w:rsidP="005C30F7">
      <w:pPr>
        <w:widowControl w:val="0"/>
        <w:rPr>
          <w:b/>
          <w:bCs/>
        </w:rPr>
      </w:pPr>
      <w:r w:rsidRPr="005C30F7">
        <w:rPr>
          <w:b/>
          <w:bCs/>
          <w:i/>
          <w:iCs/>
        </w:rPr>
        <w:t>1.3.2</w:t>
      </w:r>
      <w:r w:rsidRPr="005C30F7">
        <w:t xml:space="preserve"> </w:t>
      </w:r>
      <w:r w:rsidRPr="005C30F7">
        <w:rPr>
          <w:b/>
          <w:bCs/>
          <w:i/>
          <w:iCs/>
        </w:rPr>
        <w:t>Identity and purity requirements</w:t>
      </w:r>
    </w:p>
    <w:p w14:paraId="5710A964" w14:textId="325DCF87" w:rsidR="005C30F7" w:rsidRPr="005C30F7" w:rsidRDefault="005C30F7" w:rsidP="005C30F7">
      <w:r w:rsidRPr="005C30F7">
        <w:rPr>
          <w:lang w:val="en-US"/>
        </w:rPr>
        <w:t>Paragraph 1.1.1—15(1)(b) of the Code requires substances used as processing aids in food to comply with any relevant identity and purity specifications listed in Schedule 3 of the Code.</w:t>
      </w:r>
    </w:p>
    <w:p w14:paraId="353F3B9E" w14:textId="53C50926" w:rsidR="005C30F7" w:rsidRPr="005C30F7" w:rsidRDefault="005C30F7" w:rsidP="005C30F7">
      <w:r w:rsidRPr="005C30F7">
        <w:rPr>
          <w:lang w:val="en-US"/>
        </w:rPr>
        <w:t xml:space="preserve">Subsection S3—2(1) of Schedule 3 incorporates by reference the specifications </w:t>
      </w:r>
      <w:r w:rsidRPr="005C30F7">
        <w:rPr>
          <w:lang w:val="en-AU"/>
        </w:rPr>
        <w:t xml:space="preserve">listed in </w:t>
      </w:r>
      <w:r w:rsidRPr="005C30F7">
        <w:rPr>
          <w:lang w:val="en-US"/>
        </w:rPr>
        <w:t>the Joint FAO/WHO Expert Committee on Food Additives (JECFA) Combined Compendium of Food Additive Specifications (FAO JECFA Monographs 23, 2019), and the United States Pharmacopeial Convention (USPC 2020) Food Chemicals Codex (12</w:t>
      </w:r>
      <w:r w:rsidRPr="005C30F7">
        <w:rPr>
          <w:vertAlign w:val="superscript"/>
          <w:lang w:val="en-US"/>
        </w:rPr>
        <w:t>th</w:t>
      </w:r>
      <w:r w:rsidRPr="005C30F7">
        <w:rPr>
          <w:lang w:val="en-US"/>
        </w:rPr>
        <w:t xml:space="preserve"> edition). These include specifications for enzyme preparations used in food processing.</w:t>
      </w:r>
    </w:p>
    <w:p w14:paraId="55DEF184" w14:textId="53D9913C" w:rsidR="005C30F7" w:rsidRPr="005C30F7" w:rsidRDefault="005C30F7" w:rsidP="005C30F7">
      <w:pPr>
        <w:widowControl w:val="0"/>
        <w:rPr>
          <w:b/>
          <w:bCs/>
        </w:rPr>
      </w:pPr>
      <w:r w:rsidRPr="005C30F7">
        <w:rPr>
          <w:b/>
          <w:bCs/>
          <w:i/>
          <w:iCs/>
        </w:rPr>
        <w:t>1.3.3</w:t>
      </w:r>
      <w:r w:rsidRPr="005C30F7">
        <w:t xml:space="preserve"> </w:t>
      </w:r>
      <w:r w:rsidRPr="005C30F7">
        <w:rPr>
          <w:b/>
          <w:bCs/>
          <w:i/>
          <w:iCs/>
        </w:rPr>
        <w:t>Labelling requirements</w:t>
      </w:r>
    </w:p>
    <w:p w14:paraId="6FFE2A43" w14:textId="5BE83C5D" w:rsidR="00BF1057" w:rsidRPr="004F6BCD" w:rsidRDefault="00BF1057" w:rsidP="00BF1057">
      <w:pPr>
        <w:rPr>
          <w:rFonts w:cs="Arial"/>
          <w:szCs w:val="22"/>
        </w:rPr>
      </w:pPr>
      <w:bookmarkStart w:id="20" w:name="_Toc18672931"/>
      <w:bookmarkStart w:id="21" w:name="_Toc59089301"/>
      <w:bookmarkStart w:id="22" w:name="_Toc526345341"/>
      <w:bookmarkStart w:id="23" w:name="_Toc528569224"/>
      <w:bookmarkStart w:id="24" w:name="_Toc532222240"/>
      <w:bookmarkEnd w:id="20"/>
      <w:bookmarkEnd w:id="21"/>
      <w:r w:rsidRPr="004F6BCD">
        <w:rPr>
          <w:rFonts w:cs="Arial"/>
          <w:szCs w:val="22"/>
        </w:rPr>
        <w:t>Subsection 1.1.1</w:t>
      </w:r>
      <w:r w:rsidRPr="004F6BCD">
        <w:rPr>
          <w:rFonts w:cs="Arial"/>
          <w:szCs w:val="22"/>
          <w:lang w:val="en-AU"/>
        </w:rPr>
        <w:t>—</w:t>
      </w:r>
      <w:r w:rsidRPr="004F6BCD">
        <w:rPr>
          <w:rFonts w:cs="Arial"/>
          <w:szCs w:val="22"/>
        </w:rPr>
        <w:t xml:space="preserve">10(8) provides that food for sale must comply with all relevant labelling requirements </w:t>
      </w:r>
      <w:r>
        <w:rPr>
          <w:rFonts w:cs="Arial"/>
          <w:szCs w:val="22"/>
        </w:rPr>
        <w:t>in</w:t>
      </w:r>
      <w:r w:rsidRPr="004F6BCD">
        <w:rPr>
          <w:rFonts w:cs="Arial"/>
          <w:szCs w:val="22"/>
        </w:rPr>
        <w:t xml:space="preserve"> the Code.</w:t>
      </w:r>
    </w:p>
    <w:p w14:paraId="4445F38C" w14:textId="77777777" w:rsidR="00BF1057" w:rsidRPr="004F6BCD" w:rsidRDefault="00BF1057" w:rsidP="00BF1057">
      <w:pPr>
        <w:rPr>
          <w:lang w:eastAsia="en-AU" w:bidi="ar-SA"/>
        </w:rPr>
      </w:pPr>
      <w:r w:rsidRPr="004F6BCD">
        <w:t>Paragraphs 1.2.4—3(2)(d) and (e) exempt processing aids from the requirement to be declared in the statement of ingredients, unless other requirements apply.</w:t>
      </w:r>
    </w:p>
    <w:p w14:paraId="77107844" w14:textId="2B209215" w:rsidR="00857459" w:rsidRPr="00857459" w:rsidRDefault="00BF1057" w:rsidP="00857459">
      <w:r w:rsidRPr="00026189">
        <w:t>Subsection 1.2.3—4(1) requires certain food</w:t>
      </w:r>
      <w:r>
        <w:t>s</w:t>
      </w:r>
      <w:r w:rsidRPr="00026189">
        <w:t xml:space="preserve"> </w:t>
      </w:r>
      <w:r>
        <w:t xml:space="preserve">or their derivatives (as listed in the table to section S9—3 of Schedule 9) </w:t>
      </w:r>
      <w:r w:rsidRPr="00026189">
        <w:t>to be declared when present in a food for sale</w:t>
      </w:r>
      <w:r>
        <w:t xml:space="preserve"> (unless they are exempt under subsection 1.2.3—4(4))</w:t>
      </w:r>
      <w:r w:rsidRPr="00026189">
        <w:t xml:space="preserve">. </w:t>
      </w:r>
      <w:r w:rsidR="00857459" w:rsidRPr="00857459">
        <w:t>Paragraph 1.2.3—4(5)(c) states the food may be present as a substance used as a processing aid, or an ingredient or component of such a substance. Where the food to be declared is a substance used as a processing aid or an ingredient or component of such a substance, subsection 1.2.3—6(2) requires a declaration for the purposes of paragraph 1.2.1—8(1)(d) or subparagraph 1.2.4—5(6)(b)(</w:t>
      </w:r>
      <w:proofErr w:type="spellStart"/>
      <w:r w:rsidR="00857459" w:rsidRPr="00857459">
        <w:t>i</w:t>
      </w:r>
      <w:proofErr w:type="spellEnd"/>
      <w:r w:rsidR="00857459" w:rsidRPr="00857459">
        <w:t>) to be made by (among other things) listing in the statement of ingredients of the food for sale the required name</w:t>
      </w:r>
      <w:r w:rsidR="00857459" w:rsidRPr="00857459">
        <w:rPr>
          <w:vertAlign w:val="superscript"/>
        </w:rPr>
        <w:footnoteRef/>
      </w:r>
      <w:r w:rsidR="00857459" w:rsidRPr="00857459">
        <w:t xml:space="preserve"> of the food to be declared and the words ‘processing aid’ in conjunction with that required name</w:t>
      </w:r>
      <w:r w:rsidR="00857459" w:rsidRPr="00857459">
        <w:rPr>
          <w:vertAlign w:val="superscript"/>
        </w:rPr>
        <w:footnoteRef/>
      </w:r>
      <w:r w:rsidR="00857459" w:rsidRPr="00857459">
        <w:t>. If the food is not required to bear a label, the allergen information must be displayed in connection with the display of the food or provided to the purchaser on request (subsections 1.2.1—9(6) and (7)).</w:t>
      </w:r>
    </w:p>
    <w:p w14:paraId="3BD7D3EB" w14:textId="77777777" w:rsidR="00CD3964" w:rsidRPr="00A45826" w:rsidRDefault="00CD3964" w:rsidP="00CD3964">
      <w:pPr>
        <w:pStyle w:val="paragraph"/>
        <w:spacing w:before="0" w:beforeAutospacing="0" w:after="0" w:afterAutospacing="0"/>
        <w:textAlignment w:val="baseline"/>
        <w:rPr>
          <w:rStyle w:val="eop"/>
        </w:rPr>
      </w:pPr>
      <w:bookmarkStart w:id="25" w:name="_Hlk112227373"/>
      <w:bookmarkEnd w:id="22"/>
      <w:bookmarkEnd w:id="23"/>
      <w:bookmarkEnd w:id="24"/>
      <w:r w:rsidRPr="00CD3964">
        <w:rPr>
          <w:rStyle w:val="normaltextrun"/>
          <w:rFonts w:ascii="Arial" w:hAnsi="Arial" w:cs="Arial"/>
          <w:sz w:val="22"/>
          <w:szCs w:val="22"/>
          <w:lang w:val="en-US"/>
        </w:rPr>
        <w:t xml:space="preserve">Section 1.5.2—4 requires processing aids that are, or have as ingredients, foods produced using gene technology to be labelled ‘genetically modified’ in conjunction with the name of that food, where novel DNA and/or novel protein from the processing aid remains present in the final food. The requirement applies to foods for sale that consist of or have as an </w:t>
      </w:r>
      <w:r w:rsidRPr="00CD3964">
        <w:rPr>
          <w:rStyle w:val="normaltextrun"/>
          <w:rFonts w:ascii="Arial" w:hAnsi="Arial" w:cs="Arial"/>
          <w:sz w:val="22"/>
          <w:szCs w:val="22"/>
          <w:lang w:val="en-US"/>
        </w:rPr>
        <w:lastRenderedPageBreak/>
        <w:t xml:space="preserve">ingredient, food that is a </w:t>
      </w:r>
      <w:r w:rsidRPr="00CD3964">
        <w:rPr>
          <w:rFonts w:ascii="Arial" w:hAnsi="Arial" w:cs="Arial"/>
          <w:i/>
          <w:iCs/>
          <w:sz w:val="22"/>
          <w:szCs w:val="22"/>
          <w:lang w:val="en-GB"/>
        </w:rPr>
        <w:t>genetically modified food</w:t>
      </w:r>
      <w:r w:rsidRPr="00CD3964">
        <w:rPr>
          <w:rStyle w:val="FootnoteReference"/>
          <w:rFonts w:ascii="Arial" w:hAnsi="Arial" w:cs="Arial"/>
          <w:i/>
          <w:iCs/>
          <w:sz w:val="22"/>
          <w:szCs w:val="22"/>
          <w:lang w:val="en-US"/>
        </w:rPr>
        <w:footnoteReference w:id="2"/>
      </w:r>
      <w:r w:rsidRPr="00CD3964">
        <w:rPr>
          <w:rStyle w:val="normaltextrun"/>
          <w:rFonts w:ascii="Arial" w:hAnsi="Arial" w:cs="Arial"/>
          <w:i/>
          <w:iCs/>
          <w:sz w:val="22"/>
          <w:szCs w:val="22"/>
          <w:lang w:val="en-US"/>
        </w:rPr>
        <w:t xml:space="preserve"> </w:t>
      </w:r>
      <w:r w:rsidRPr="00CD3964">
        <w:rPr>
          <w:rFonts w:ascii="Arial" w:hAnsi="Arial" w:cs="Arial"/>
          <w:sz w:val="22"/>
          <w:szCs w:val="22"/>
          <w:lang w:val="en-GB"/>
        </w:rPr>
        <w:t xml:space="preserve">(GM food). The requirements imposed by section 1.5.2—4 apply only to foods </w:t>
      </w:r>
      <w:r w:rsidRPr="00CD3964">
        <w:rPr>
          <w:rStyle w:val="normaltextrun"/>
          <w:rFonts w:ascii="Arial" w:hAnsi="Arial" w:cs="Arial"/>
          <w:sz w:val="22"/>
          <w:szCs w:val="22"/>
          <w:lang w:val="en-US"/>
        </w:rPr>
        <w:t>for sale prescribed by Divisions 2 to 4 of Standard 1.2.1.</w:t>
      </w:r>
      <w:r w:rsidRPr="00A45826">
        <w:rPr>
          <w:rStyle w:val="eop"/>
          <w:rFonts w:ascii="Arial" w:hAnsi="Arial" w:cs="Arial"/>
          <w:sz w:val="22"/>
          <w:szCs w:val="22"/>
        </w:rPr>
        <w:t> </w:t>
      </w:r>
    </w:p>
    <w:bookmarkEnd w:id="25"/>
    <w:p w14:paraId="22E64060" w14:textId="73A35C97" w:rsidR="005C30F7" w:rsidRPr="00EF583C" w:rsidRDefault="005C30F7" w:rsidP="005C30F7">
      <w:pPr>
        <w:widowControl w:val="0"/>
        <w:rPr>
          <w:b/>
          <w:bCs/>
        </w:rPr>
      </w:pPr>
      <w:r w:rsidRPr="00EF583C">
        <w:rPr>
          <w:b/>
          <w:bCs/>
          <w:i/>
          <w:iCs/>
        </w:rPr>
        <w:t>1.3.4</w:t>
      </w:r>
      <w:r w:rsidRPr="00EF583C">
        <w:t xml:space="preserve"> </w:t>
      </w:r>
      <w:r w:rsidRPr="00EF583C">
        <w:rPr>
          <w:b/>
          <w:bCs/>
          <w:i/>
          <w:iCs/>
        </w:rPr>
        <w:t>International standards</w:t>
      </w:r>
    </w:p>
    <w:p w14:paraId="76405A8B" w14:textId="00CEBDEE" w:rsidR="005C30F7" w:rsidRPr="005C30F7" w:rsidRDefault="005C30F7" w:rsidP="00EE081E">
      <w:r w:rsidRPr="005C30F7">
        <w:rPr>
          <w:lang w:val="en-US"/>
        </w:rPr>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w:t>
      </w:r>
      <w:proofErr w:type="spellStart"/>
      <w:r w:rsidRPr="005C30F7">
        <w:rPr>
          <w:lang w:val="en-US"/>
        </w:rPr>
        <w:t>recognised</w:t>
      </w:r>
      <w:proofErr w:type="spellEnd"/>
      <w:r w:rsidRPr="005C30F7">
        <w:rPr>
          <w:lang w:val="en-US"/>
        </w:rPr>
        <w:t xml:space="preserve"> specifications for enzyme preparations established by JECFA and Food Chemicals Codex.</w:t>
      </w:r>
      <w:r w:rsidR="00EE081E">
        <w:rPr>
          <w:lang w:val="en-US"/>
        </w:rPr>
        <w:t xml:space="preserve"> </w:t>
      </w:r>
      <w:r w:rsidR="00EE081E">
        <w:t>In addition, t</w:t>
      </w:r>
      <w:r w:rsidR="00EE081E">
        <w:rPr>
          <w:lang w:bidi="ar-SA"/>
        </w:rPr>
        <w:t xml:space="preserve">here is a Codex guideline, </w:t>
      </w:r>
      <w:r w:rsidR="00EE081E">
        <w:rPr>
          <w:i/>
          <w:lang w:bidi="ar-SA"/>
        </w:rPr>
        <w:t>Guidelines on Substances used as Processing Aids</w:t>
      </w:r>
      <w:r w:rsidR="00EE081E">
        <w:rPr>
          <w:lang w:bidi="ar-SA"/>
        </w:rPr>
        <w:t xml:space="preserve"> (CAC/GL 75-2010) which sets out general principles for the safe use of substances used as processing aids, including that substances used as processing aids shall be used under conditions of GMP.</w:t>
      </w:r>
    </w:p>
    <w:p w14:paraId="1DDE8521" w14:textId="773423BC" w:rsidR="005C30F7" w:rsidRPr="006479B8" w:rsidRDefault="005C30F7" w:rsidP="005C30F7">
      <w:pPr>
        <w:widowControl w:val="0"/>
      </w:pPr>
      <w:r w:rsidRPr="006479B8">
        <w:rPr>
          <w:lang w:val="en-US"/>
        </w:rPr>
        <w:t xml:space="preserve">The applicant advised that the enzyme is approved for use as a processing aid in </w:t>
      </w:r>
      <w:r w:rsidR="006479B8" w:rsidRPr="006479B8">
        <w:rPr>
          <w:lang w:val="en-US"/>
        </w:rPr>
        <w:t>Denmark and France.</w:t>
      </w:r>
    </w:p>
    <w:p w14:paraId="5287E848" w14:textId="4723BDA2" w:rsidR="00AF387F" w:rsidRPr="00E76118" w:rsidRDefault="00F33BB8" w:rsidP="00D062E4">
      <w:pPr>
        <w:pStyle w:val="Heading2"/>
        <w:rPr>
          <w:u w:color="FFFF00"/>
        </w:rPr>
      </w:pPr>
      <w:bookmarkStart w:id="27" w:name="_Toc286391007"/>
      <w:bookmarkStart w:id="28" w:name="_Toc300933423"/>
      <w:bookmarkStart w:id="29" w:name="_Toc112136695"/>
      <w:bookmarkStart w:id="30" w:name="_Toc175381432"/>
      <w:r w:rsidRPr="00E76118">
        <w:rPr>
          <w:u w:color="FFFF00"/>
        </w:rPr>
        <w:t>1</w:t>
      </w:r>
      <w:r w:rsidR="00606C88" w:rsidRPr="00E76118">
        <w:rPr>
          <w:u w:color="FFFF00"/>
        </w:rPr>
        <w:t>.4</w:t>
      </w:r>
      <w:r w:rsidR="001542D8" w:rsidRPr="00E76118">
        <w:rPr>
          <w:u w:color="FFFF00"/>
        </w:rPr>
        <w:tab/>
      </w:r>
      <w:r w:rsidR="00741EFE" w:rsidRPr="00E76118">
        <w:rPr>
          <w:u w:color="FFFF00"/>
        </w:rPr>
        <w:t>Reasons for accepting A</w:t>
      </w:r>
      <w:r w:rsidR="00AF387F" w:rsidRPr="00E76118">
        <w:rPr>
          <w:u w:color="FFFF00"/>
        </w:rPr>
        <w:t>pplication</w:t>
      </w:r>
      <w:bookmarkEnd w:id="27"/>
      <w:bookmarkEnd w:id="28"/>
      <w:bookmarkEnd w:id="29"/>
    </w:p>
    <w:p w14:paraId="5FB568EA" w14:textId="77777777" w:rsidR="00EE081E" w:rsidRDefault="00EE081E" w:rsidP="00EE081E">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3"/>
      <w:bookmarkEnd w:id="4"/>
      <w:bookmarkEnd w:id="5"/>
      <w:bookmarkEnd w:id="6"/>
      <w:bookmarkEnd w:id="7"/>
      <w:bookmarkEnd w:id="30"/>
      <w:r>
        <w:t>The application was accepted for assessment because:</w:t>
      </w:r>
    </w:p>
    <w:p w14:paraId="45BE4707" w14:textId="253C910C" w:rsidR="00EE081E" w:rsidRDefault="5A4855F5" w:rsidP="00EE081E">
      <w:pPr>
        <w:pStyle w:val="FSBullet1"/>
        <w:spacing w:before="0" w:after="0"/>
        <w:ind w:left="567" w:hanging="567"/>
      </w:pPr>
      <w:r>
        <w:t xml:space="preserve">it complied with the procedural requirements under subsection 22(2) of the </w:t>
      </w:r>
      <w:r w:rsidRPr="2914F20C">
        <w:rPr>
          <w:i/>
          <w:iCs/>
        </w:rPr>
        <w:t>Food Standards Australia New Zealand A</w:t>
      </w:r>
      <w:r w:rsidR="0142545E" w:rsidRPr="2914F20C">
        <w:rPr>
          <w:i/>
          <w:iCs/>
        </w:rPr>
        <w:t>c</w:t>
      </w:r>
      <w:r w:rsidRPr="2914F20C">
        <w:rPr>
          <w:i/>
          <w:iCs/>
        </w:rPr>
        <w:t>t 1991</w:t>
      </w:r>
      <w:r>
        <w:t xml:space="preserve"> (FSANZ Act); and</w:t>
      </w:r>
    </w:p>
    <w:p w14:paraId="2FB7AAB7" w14:textId="77777777" w:rsidR="00EE081E" w:rsidRDefault="00EE081E" w:rsidP="00EE081E">
      <w:pPr>
        <w:pStyle w:val="FSBullet1"/>
        <w:spacing w:before="0" w:after="0"/>
        <w:ind w:left="567" w:hanging="567"/>
      </w:pPr>
      <w:r>
        <w:t>it related to a matter that might be developed as a food regulatory measure.</w:t>
      </w:r>
    </w:p>
    <w:p w14:paraId="5EA8CF7C" w14:textId="77777777" w:rsidR="00DE79D9" w:rsidRDefault="00D3171B" w:rsidP="00DE79D9">
      <w:pPr>
        <w:pStyle w:val="Heading2"/>
      </w:pPr>
      <w:bookmarkStart w:id="38" w:name="_Toc112136696"/>
      <w:r>
        <w:t>1</w:t>
      </w:r>
      <w:r w:rsidR="00606C88">
        <w:t>.5</w:t>
      </w:r>
      <w:r w:rsidR="00DE79D9">
        <w:tab/>
        <w:t>Procedure for assessment</w:t>
      </w:r>
      <w:bookmarkEnd w:id="38"/>
    </w:p>
    <w:p w14:paraId="0D2CB3F2" w14:textId="72C403F2" w:rsidR="00DE79D9" w:rsidRPr="00EE081E" w:rsidRDefault="00DE79D9" w:rsidP="00DE79D9">
      <w:r w:rsidRPr="00EE081E">
        <w:t>The Application is being assessed under the General Procedure</w:t>
      </w:r>
      <w:r w:rsidR="000A7AA5">
        <w:t xml:space="preserve"> in the FSANZ Act</w:t>
      </w:r>
      <w:r w:rsidRPr="00EE081E">
        <w:t>.</w:t>
      </w:r>
    </w:p>
    <w:p w14:paraId="290AEEC1" w14:textId="77777777" w:rsidR="00AF387F" w:rsidRPr="00180C41" w:rsidRDefault="00D3171B" w:rsidP="00180C41">
      <w:pPr>
        <w:pStyle w:val="Heading1"/>
      </w:pPr>
      <w:bookmarkStart w:id="39" w:name="_Toc300933424"/>
      <w:bookmarkStart w:id="40" w:name="_Toc112136697"/>
      <w:r>
        <w:t>2</w:t>
      </w:r>
      <w:r w:rsidR="001542D8">
        <w:tab/>
      </w:r>
      <w:r w:rsidR="00350DBD">
        <w:t>S</w:t>
      </w:r>
      <w:r w:rsidR="00FB1533">
        <w:t>ummary of the a</w:t>
      </w:r>
      <w:r w:rsidR="00FD2FBE">
        <w:t>ssessment</w:t>
      </w:r>
      <w:bookmarkEnd w:id="31"/>
      <w:bookmarkEnd w:id="39"/>
      <w:bookmarkEnd w:id="40"/>
    </w:p>
    <w:p w14:paraId="63EA8537" w14:textId="7BDC2E79" w:rsidR="004F69F6" w:rsidRPr="00932F14" w:rsidRDefault="00D3171B" w:rsidP="004646F8">
      <w:pPr>
        <w:pStyle w:val="Heading2"/>
      </w:pPr>
      <w:bookmarkStart w:id="41" w:name="_Toc286391009"/>
      <w:bookmarkStart w:id="42" w:name="_Toc300933425"/>
      <w:bookmarkStart w:id="43" w:name="_Toc112136698"/>
      <w:bookmarkStart w:id="44" w:name="_Toc120358583"/>
      <w:bookmarkStart w:id="45" w:name="_Toc175381440"/>
      <w:r>
        <w:t>2</w:t>
      </w:r>
      <w:r w:rsidR="00271F00">
        <w:t>.</w:t>
      </w:r>
      <w:r w:rsidR="008714FB">
        <w:t>1</w:t>
      </w:r>
      <w:r w:rsidR="00271F00">
        <w:tab/>
      </w:r>
      <w:r w:rsidR="004F69F6" w:rsidRPr="00932F14">
        <w:t xml:space="preserve">Risk </w:t>
      </w:r>
      <w:r w:rsidR="00741EFE">
        <w:t>a</w:t>
      </w:r>
      <w:r w:rsidR="004F69F6" w:rsidRPr="00932F14">
        <w:t>ssessment</w:t>
      </w:r>
      <w:bookmarkEnd w:id="41"/>
      <w:bookmarkEnd w:id="42"/>
      <w:bookmarkEnd w:id="43"/>
      <w:r w:rsidR="004F69F6" w:rsidRPr="00932F14">
        <w:t xml:space="preserve"> </w:t>
      </w:r>
      <w:bookmarkEnd w:id="44"/>
      <w:bookmarkEnd w:id="45"/>
    </w:p>
    <w:p w14:paraId="5EBCEEA3" w14:textId="0F99E00F" w:rsidR="00915CB3" w:rsidRPr="00915CB3" w:rsidRDefault="62984091" w:rsidP="00180C41">
      <w:r w:rsidRPr="00915CB3">
        <w:t>FSANZ has assessed the public health and safety risks associated with</w:t>
      </w:r>
      <w:r w:rsidRPr="00915CB3">
        <w:rPr>
          <w:rFonts w:cs="Arial"/>
          <w:shd w:val="clear" w:color="auto" w:fill="FFFFFF"/>
        </w:rPr>
        <w:t xml:space="preserve"> a</w:t>
      </w:r>
      <w:r w:rsidRPr="00915CB3">
        <w:rPr>
          <w:rStyle w:val="normaltextrun"/>
          <w:rFonts w:cs="Arial"/>
          <w:shd w:val="clear" w:color="auto" w:fill="FFFFFF"/>
        </w:rPr>
        <w:t xml:space="preserve">lpha-amylase produced by GM </w:t>
      </w:r>
      <w:r w:rsidRPr="2914F20C">
        <w:rPr>
          <w:rStyle w:val="normaltextrun"/>
          <w:rFonts w:cs="Arial"/>
          <w:i/>
          <w:iCs/>
          <w:shd w:val="clear" w:color="auto" w:fill="FFFFFF"/>
        </w:rPr>
        <w:t>B</w:t>
      </w:r>
      <w:r w:rsidR="750C90B4" w:rsidRPr="2914F20C">
        <w:rPr>
          <w:rStyle w:val="normaltextrun"/>
          <w:rFonts w:cs="Arial"/>
          <w:i/>
          <w:iCs/>
          <w:shd w:val="clear" w:color="auto" w:fill="FFFFFF"/>
        </w:rPr>
        <w:t>. </w:t>
      </w:r>
      <w:r w:rsidRPr="2914F20C">
        <w:rPr>
          <w:rStyle w:val="normaltextrun"/>
          <w:rFonts w:cs="Arial"/>
          <w:i/>
          <w:iCs/>
          <w:shd w:val="clear" w:color="auto" w:fill="FFFFFF"/>
        </w:rPr>
        <w:t>subtilis</w:t>
      </w:r>
      <w:r w:rsidR="73D16C32" w:rsidRPr="2914F20C">
        <w:rPr>
          <w:rStyle w:val="normaltextrun"/>
          <w:rFonts w:cs="Arial"/>
          <w:i/>
          <w:iCs/>
          <w:shd w:val="clear" w:color="auto" w:fill="FFFFFF"/>
        </w:rPr>
        <w:t xml:space="preserve"> </w:t>
      </w:r>
      <w:r w:rsidR="73D16C32">
        <w:rPr>
          <w:rStyle w:val="normaltextrun"/>
          <w:rFonts w:cs="Arial"/>
          <w:shd w:val="clear" w:color="auto" w:fill="FFFFFF"/>
        </w:rPr>
        <w:t>AR-651</w:t>
      </w:r>
      <w:r w:rsidRPr="00915CB3">
        <w:t xml:space="preserve">, containing the alpha amylase gene from </w:t>
      </w:r>
      <w:r w:rsidRPr="2914F20C">
        <w:rPr>
          <w:i/>
          <w:iCs/>
          <w:lang w:bidi="ar-SA"/>
        </w:rPr>
        <w:t>T.</w:t>
      </w:r>
      <w:r w:rsidR="750C90B4" w:rsidRPr="2914F20C">
        <w:rPr>
          <w:i/>
          <w:iCs/>
          <w:lang w:bidi="ar-SA"/>
        </w:rPr>
        <w:t> </w:t>
      </w:r>
      <w:r w:rsidRPr="2914F20C">
        <w:rPr>
          <w:i/>
          <w:iCs/>
          <w:lang w:bidi="ar-SA"/>
        </w:rPr>
        <w:t>vulgaris</w:t>
      </w:r>
      <w:r w:rsidRPr="00915CB3">
        <w:t xml:space="preserve"> (see SD1</w:t>
      </w:r>
      <w:r w:rsidR="287E716A" w:rsidRPr="00915CB3">
        <w:t>). The</w:t>
      </w:r>
      <w:r w:rsidRPr="00915CB3">
        <w:t xml:space="preserve"> proposed use of the enzyme is as a processing aid in the manufacture of bakery products such as bread, steamed bread, bread buns, tortillas, cakes, pancakes, and waffles.</w:t>
      </w:r>
    </w:p>
    <w:p w14:paraId="172E5FCC" w14:textId="04A34FBD" w:rsidR="00915CB3" w:rsidRPr="00915CB3" w:rsidRDefault="00915CB3" w:rsidP="00180C41">
      <w:r w:rsidRPr="00915CB3">
        <w:t xml:space="preserve">No public health and safety concerns were identified in the assessment of </w:t>
      </w:r>
      <w:r w:rsidRPr="00915CB3">
        <w:rPr>
          <w:rFonts w:cs="Arial"/>
          <w:shd w:val="clear" w:color="auto" w:fill="FFFFFF"/>
        </w:rPr>
        <w:t>a</w:t>
      </w:r>
      <w:r w:rsidRPr="00915CB3">
        <w:rPr>
          <w:rStyle w:val="normaltextrun"/>
          <w:rFonts w:cs="Arial"/>
          <w:shd w:val="clear" w:color="auto" w:fill="FFFFFF"/>
        </w:rPr>
        <w:t xml:space="preserve">lpha-amylase produced by GM </w:t>
      </w:r>
      <w:r w:rsidRPr="00915CB3">
        <w:rPr>
          <w:rStyle w:val="normaltextrun"/>
          <w:rFonts w:cs="Arial"/>
          <w:i/>
          <w:iCs/>
          <w:shd w:val="clear" w:color="auto" w:fill="FFFFFF"/>
        </w:rPr>
        <w:t>B. subtilis</w:t>
      </w:r>
      <w:r w:rsidR="00951564">
        <w:rPr>
          <w:rStyle w:val="normaltextrun"/>
          <w:rFonts w:cs="Arial"/>
          <w:shd w:val="clear" w:color="auto" w:fill="FFFFFF"/>
        </w:rPr>
        <w:t xml:space="preserve"> AR-651</w:t>
      </w:r>
      <w:r w:rsidRPr="00915CB3">
        <w:t xml:space="preserve">, under the proposed conditions of use. A microbiological assessment concluded that the GM host strain is neither pathogenic nor toxigenic, and a biotechnology assessment confirmed the genetic modification is as described and that the inserted gene has been stably introduced. </w:t>
      </w:r>
    </w:p>
    <w:p w14:paraId="3FD8CE73" w14:textId="5122C558" w:rsidR="00915CB3" w:rsidRPr="00915CB3" w:rsidRDefault="00915CB3" w:rsidP="00180C41">
      <w:r>
        <w:lastRenderedPageBreak/>
        <w:t>A toxicological assessment combined with a dietary exposure assessment concluded the enzyme is safe under the proposed conditions of use.</w:t>
      </w:r>
      <w:r w:rsidR="00F119BC">
        <w:t xml:space="preserve"> Bioinformatics analysis </w:t>
      </w:r>
      <w:r w:rsidR="002C4CED">
        <w:t>confirmed</w:t>
      </w:r>
      <w:r w:rsidR="00F119BC">
        <w:t xml:space="preserve"> that the </w:t>
      </w:r>
      <w:r w:rsidR="002C4CED">
        <w:t xml:space="preserve">produced </w:t>
      </w:r>
      <w:r w:rsidR="00F119BC">
        <w:t xml:space="preserve">enzyme </w:t>
      </w:r>
      <w:r w:rsidR="002C4CED">
        <w:t>has no</w:t>
      </w:r>
      <w:r w:rsidR="00F119BC">
        <w:t xml:space="preserve"> significant similarity with known toxins or food allergens.</w:t>
      </w:r>
    </w:p>
    <w:p w14:paraId="37058D63" w14:textId="593DC2D4" w:rsidR="00180C41" w:rsidRPr="00D3171B" w:rsidRDefault="00915CB3" w:rsidP="00180C41">
      <w:pPr>
        <w:rPr>
          <w:color w:val="00B050"/>
        </w:rPr>
      </w:pPr>
      <w:r w:rsidRPr="00915CB3">
        <w:t>In the absence of any identifiable hazard, an acceptable daily intake (ADI)</w:t>
      </w:r>
      <w:r w:rsidR="006A0E6B">
        <w:t xml:space="preserve"> of</w:t>
      </w:r>
      <w:r w:rsidRPr="00915CB3">
        <w:t xml:space="preserve"> ‘not specified’ is appropriate.</w:t>
      </w:r>
    </w:p>
    <w:p w14:paraId="6B0DD2D9" w14:textId="6F06C2B0" w:rsidR="004F69F6" w:rsidRPr="00932F14" w:rsidRDefault="00D3171B" w:rsidP="004646F8">
      <w:pPr>
        <w:pStyle w:val="Heading2"/>
      </w:pPr>
      <w:bookmarkStart w:id="46" w:name="_Toc175381442"/>
      <w:bookmarkStart w:id="47" w:name="_Toc286391010"/>
      <w:bookmarkStart w:id="48" w:name="_Toc300933426"/>
      <w:bookmarkStart w:id="49" w:name="_Toc112136699"/>
      <w:r>
        <w:t>2</w:t>
      </w:r>
      <w:r w:rsidR="0045556F">
        <w:t>.</w:t>
      </w:r>
      <w:r w:rsidR="008714FB">
        <w:t>2</w:t>
      </w:r>
      <w:r w:rsidR="00271F00">
        <w:tab/>
      </w:r>
      <w:bookmarkEnd w:id="46"/>
      <w:bookmarkEnd w:id="47"/>
      <w:bookmarkEnd w:id="48"/>
      <w:r w:rsidR="0045556F">
        <w:t>R</w:t>
      </w:r>
      <w:r w:rsidR="00707E72">
        <w:t>isk m</w:t>
      </w:r>
      <w:r w:rsidR="008A35FB">
        <w:t>anagement</w:t>
      </w:r>
      <w:bookmarkEnd w:id="49"/>
    </w:p>
    <w:p w14:paraId="23C0A617" w14:textId="77777777" w:rsidR="00B158FF" w:rsidRPr="00B158FF" w:rsidRDefault="00B158FF" w:rsidP="00B158FF">
      <w:bookmarkStart w:id="50" w:name="_Toc300761910"/>
      <w:r w:rsidRPr="00B158FF">
        <w:t>The risk management options available to FSANZ after assessment, were to either:</w:t>
      </w:r>
    </w:p>
    <w:p w14:paraId="30B08691" w14:textId="77777777" w:rsidR="00B158FF" w:rsidRPr="00B158FF" w:rsidRDefault="00B158FF" w:rsidP="00B158FF">
      <w:pPr>
        <w:pStyle w:val="FSBullet1"/>
        <w:spacing w:before="0" w:after="0"/>
        <w:ind w:left="567" w:hanging="567"/>
      </w:pPr>
      <w:r w:rsidRPr="00B158FF">
        <w:t>reject the application, or</w:t>
      </w:r>
    </w:p>
    <w:p w14:paraId="7F2723B7" w14:textId="77777777" w:rsidR="00B158FF" w:rsidRPr="00B158FF" w:rsidRDefault="00B158FF" w:rsidP="00B158FF">
      <w:pPr>
        <w:pStyle w:val="FSBullet1"/>
        <w:spacing w:before="0" w:after="0"/>
        <w:ind w:left="567" w:hanging="567"/>
      </w:pPr>
      <w:r w:rsidRPr="00B158FF">
        <w:t>prepare a draft variation of the Code.</w:t>
      </w:r>
    </w:p>
    <w:p w14:paraId="1B9228C8" w14:textId="322AD392" w:rsidR="00B158FF" w:rsidRPr="004D704F" w:rsidRDefault="00B158FF" w:rsidP="00B158FF">
      <w:pPr>
        <w:pStyle w:val="FSBullet1"/>
        <w:numPr>
          <w:ilvl w:val="0"/>
          <w:numId w:val="0"/>
        </w:numPr>
      </w:pPr>
      <w:r w:rsidRPr="004D704F">
        <w:t xml:space="preserve">For the reasons listed in this report, FSANZ decided to prepare a draft variation to the Code permitting the use of </w:t>
      </w:r>
      <w:r w:rsidR="005C6721">
        <w:t>alpha-</w:t>
      </w:r>
      <w:r w:rsidR="005C6721" w:rsidRPr="004D704F">
        <w:t xml:space="preserve">amylase </w:t>
      </w:r>
      <w:r w:rsidRPr="004D704F">
        <w:t xml:space="preserve">produced using a GM strain of </w:t>
      </w:r>
      <w:r w:rsidR="004D704F" w:rsidRPr="004D704F">
        <w:rPr>
          <w:i/>
        </w:rPr>
        <w:t>B. subtilis</w:t>
      </w:r>
      <w:r w:rsidRPr="004D704F">
        <w:rPr>
          <w:i/>
        </w:rPr>
        <w:t xml:space="preserve">, </w:t>
      </w:r>
      <w:r w:rsidRPr="004D704F">
        <w:t xml:space="preserve">containing the </w:t>
      </w:r>
      <w:r w:rsidR="004D704F" w:rsidRPr="004D704F">
        <w:t>alpha-</w:t>
      </w:r>
      <w:r w:rsidRPr="004D704F">
        <w:t>amylase gene from</w:t>
      </w:r>
      <w:r w:rsidRPr="004D704F">
        <w:rPr>
          <w:i/>
        </w:rPr>
        <w:t xml:space="preserve"> </w:t>
      </w:r>
      <w:r w:rsidR="004D704F" w:rsidRPr="004D704F">
        <w:rPr>
          <w:i/>
        </w:rPr>
        <w:t>T. vulgaris</w:t>
      </w:r>
      <w:r w:rsidRPr="004D704F">
        <w:t>, as a processing aid in</w:t>
      </w:r>
      <w:r w:rsidR="004D704F" w:rsidRPr="004D704F">
        <w:t xml:space="preserve"> the manufacture of bakery products</w:t>
      </w:r>
      <w:r w:rsidRPr="004D704F">
        <w:t>. If approved, this permission would be subject to the condition that the maximum permitted level or amount of enzyme used in the food must be consistent with GMP.</w:t>
      </w:r>
    </w:p>
    <w:p w14:paraId="5379B286" w14:textId="77777777" w:rsidR="00C820AD" w:rsidRPr="009667B8" w:rsidRDefault="00C820AD" w:rsidP="00C820AD">
      <w:pPr>
        <w:rPr>
          <w:lang w:val="en-AU" w:bidi="ar-SA"/>
        </w:rPr>
      </w:pPr>
      <w:bookmarkStart w:id="51" w:name="_Toc41571268"/>
      <w:bookmarkStart w:id="52" w:name="_Toc99714083"/>
      <w:r>
        <w:rPr>
          <w:lang w:val="en-AU" w:bidi="ar-SA"/>
        </w:rPr>
        <w:t xml:space="preserve">The conclusions from the risk and technical assessment were that the proposed use of the enzyme is technologically justified and there were no safety concerns associated with its proposed use. </w:t>
      </w:r>
    </w:p>
    <w:p w14:paraId="0C56217D" w14:textId="77777777" w:rsidR="00C820AD" w:rsidRDefault="00C820AD" w:rsidP="00C820AD">
      <w:r w:rsidRPr="002F4ADD">
        <w:rPr>
          <w:lang w:val="en-AU" w:bidi="ar-SA"/>
        </w:rPr>
        <w:t>Other risk management considerations for this application are related to the enzyme and source microorgani</w:t>
      </w:r>
      <w:r>
        <w:rPr>
          <w:lang w:val="en-AU" w:bidi="ar-SA"/>
        </w:rPr>
        <w:t>sm nomenclature, specifications</w:t>
      </w:r>
      <w:r w:rsidRPr="002F4ADD">
        <w:rPr>
          <w:lang w:val="en-AU" w:bidi="ar-SA"/>
        </w:rPr>
        <w:t xml:space="preserve"> and labelling</w:t>
      </w:r>
      <w:r>
        <w:rPr>
          <w:lang w:val="en-AU" w:bidi="ar-SA"/>
        </w:rPr>
        <w:t xml:space="preserve">. These </w:t>
      </w:r>
      <w:r w:rsidRPr="002F4ADD">
        <w:rPr>
          <w:lang w:val="en-AU" w:bidi="ar-SA"/>
        </w:rPr>
        <w:t>are discussed below.</w:t>
      </w:r>
    </w:p>
    <w:p w14:paraId="77B15DB2" w14:textId="77777777" w:rsidR="00B158FF" w:rsidRPr="004D704F" w:rsidRDefault="00B158FF" w:rsidP="00B158FF">
      <w:pPr>
        <w:pStyle w:val="Heading3"/>
        <w:rPr>
          <w:color w:val="auto"/>
        </w:rPr>
      </w:pPr>
      <w:bookmarkStart w:id="53" w:name="_Toc112136700"/>
      <w:r w:rsidRPr="004D704F">
        <w:rPr>
          <w:color w:val="auto"/>
        </w:rPr>
        <w:t>2.2.1</w:t>
      </w:r>
      <w:r w:rsidRPr="004D704F">
        <w:rPr>
          <w:color w:val="auto"/>
        </w:rPr>
        <w:tab/>
        <w:t>Regulatory approval for enzymes</w:t>
      </w:r>
      <w:bookmarkEnd w:id="51"/>
      <w:bookmarkEnd w:id="52"/>
      <w:bookmarkEnd w:id="53"/>
    </w:p>
    <w:p w14:paraId="6A645EDC" w14:textId="6C301C7A" w:rsidR="00B158FF" w:rsidRPr="008A27A0" w:rsidRDefault="00B158FF" w:rsidP="00B158FF">
      <w:pPr>
        <w:rPr>
          <w:lang w:bidi="ar-SA"/>
        </w:rPr>
      </w:pPr>
      <w:r w:rsidRPr="008A27A0">
        <w:t>As stated above, FSANZ has prepared a draft variation to permit the use of the enzyme as a processing aid for its stated purpose.</w:t>
      </w:r>
      <w:bookmarkStart w:id="54" w:name="_Toc526345348"/>
      <w:bookmarkStart w:id="55" w:name="_Toc525216783"/>
      <w:bookmarkStart w:id="56" w:name="_Toc522528749"/>
      <w:bookmarkStart w:id="57" w:name="_Toc505939266"/>
      <w:bookmarkStart w:id="58" w:name="_Toc438728880"/>
      <w:bookmarkStart w:id="59" w:name="_Toc422314550"/>
      <w:bookmarkStart w:id="60" w:name="_Toc408481344"/>
      <w:bookmarkStart w:id="61" w:name="_Toc402946766"/>
      <w:bookmarkStart w:id="62" w:name="_Toc393271473"/>
      <w:r w:rsidRPr="008A27A0">
        <w:rPr>
          <w:lang w:bidi="ar-SA"/>
        </w:rPr>
        <w:t xml:space="preserve"> 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w:t>
      </w:r>
      <w:r w:rsidR="004D704F" w:rsidRPr="008A27A0">
        <w:rPr>
          <w:lang w:bidi="ar-SA"/>
        </w:rPr>
        <w:t>ection 1.1.2—2(3) of the Code)</w:t>
      </w:r>
      <w:r w:rsidR="008A27A0" w:rsidRPr="008A27A0">
        <w:rPr>
          <w:rStyle w:val="FootnoteReference"/>
        </w:rPr>
        <w:t xml:space="preserve"> </w:t>
      </w:r>
      <w:r w:rsidR="008A27A0" w:rsidRPr="008A27A0">
        <w:rPr>
          <w:rStyle w:val="FootnoteReference"/>
        </w:rPr>
        <w:footnoteReference w:id="3"/>
      </w:r>
      <w:r w:rsidR="008A27A0" w:rsidRPr="008A27A0">
        <w:t>.</w:t>
      </w:r>
    </w:p>
    <w:p w14:paraId="27981F06" w14:textId="77777777" w:rsidR="00B158FF" w:rsidRPr="008A27A0" w:rsidRDefault="00B158FF" w:rsidP="00B158FF">
      <w:pPr>
        <w:pStyle w:val="Heading3"/>
        <w:rPr>
          <w:color w:val="auto"/>
        </w:rPr>
      </w:pPr>
      <w:bookmarkStart w:id="63" w:name="_Toc41571269"/>
      <w:bookmarkStart w:id="64" w:name="_Toc99714084"/>
      <w:bookmarkStart w:id="65" w:name="_Toc112136701"/>
      <w:r w:rsidRPr="008A27A0">
        <w:rPr>
          <w:color w:val="auto"/>
        </w:rPr>
        <w:t>2.2.2</w:t>
      </w:r>
      <w:r w:rsidRPr="008A27A0">
        <w:rPr>
          <w:color w:val="auto"/>
        </w:rPr>
        <w:tab/>
        <w:t>Enzyme and source microorganism nomenclature</w:t>
      </w:r>
      <w:bookmarkEnd w:id="54"/>
      <w:bookmarkEnd w:id="55"/>
      <w:bookmarkEnd w:id="56"/>
      <w:bookmarkEnd w:id="57"/>
      <w:bookmarkEnd w:id="58"/>
      <w:bookmarkEnd w:id="59"/>
      <w:bookmarkEnd w:id="60"/>
      <w:bookmarkEnd w:id="61"/>
      <w:bookmarkEnd w:id="62"/>
      <w:bookmarkEnd w:id="63"/>
      <w:bookmarkEnd w:id="64"/>
      <w:bookmarkEnd w:id="65"/>
    </w:p>
    <w:p w14:paraId="4EAD8108" w14:textId="77777777" w:rsidR="008A27A0" w:rsidRDefault="008A27A0" w:rsidP="00B158FF">
      <w:pPr>
        <w:rPr>
          <w:rFonts w:eastAsia="Calibri" w:cs="Arial"/>
          <w:bCs/>
          <w:szCs w:val="22"/>
          <w:lang w:val="en-AU" w:bidi="ar-SA"/>
        </w:rPr>
      </w:pPr>
      <w:r w:rsidRPr="002F4ADD">
        <w:rPr>
          <w:rFonts w:eastAsia="Calibri" w:cs="Arial"/>
          <w:bCs/>
          <w:szCs w:val="22"/>
          <w:lang w:val="en-AU" w:bidi="ar-SA"/>
        </w:rPr>
        <w:t xml:space="preserve">The International Union of Biochemistry and Molecular Biology (IUBMB) uses the accepted name ‘α-amylase’. This is the name used in the proposed draft variation and the name used in existing permissions </w:t>
      </w:r>
      <w:r>
        <w:rPr>
          <w:rFonts w:eastAsia="Calibri" w:cs="Arial"/>
          <w:bCs/>
          <w:szCs w:val="22"/>
          <w:lang w:val="en-AU" w:bidi="ar-SA"/>
        </w:rPr>
        <w:t xml:space="preserve">for alpha-amylase </w:t>
      </w:r>
      <w:r w:rsidRPr="002F4ADD">
        <w:rPr>
          <w:rFonts w:eastAsia="Calibri" w:cs="Arial"/>
          <w:bCs/>
          <w:szCs w:val="22"/>
          <w:lang w:val="en-AU" w:bidi="ar-SA"/>
        </w:rPr>
        <w:t xml:space="preserve">in Schedule 18. The word ‘alpha’ has been used in this report and </w:t>
      </w:r>
      <w:r>
        <w:rPr>
          <w:rFonts w:eastAsia="Calibri" w:cs="Arial"/>
          <w:bCs/>
          <w:szCs w:val="22"/>
          <w:lang w:val="en-AU" w:bidi="ar-SA"/>
        </w:rPr>
        <w:t xml:space="preserve">was used by the applicant </w:t>
      </w:r>
      <w:r w:rsidRPr="002F4ADD">
        <w:rPr>
          <w:rFonts w:eastAsia="Calibri" w:cs="Arial"/>
          <w:bCs/>
          <w:szCs w:val="22"/>
          <w:lang w:val="en-AU" w:bidi="ar-SA"/>
        </w:rPr>
        <w:t xml:space="preserve">in the application, instead of </w:t>
      </w:r>
      <w:r>
        <w:rPr>
          <w:rFonts w:eastAsia="Calibri" w:cs="Arial"/>
          <w:bCs/>
          <w:szCs w:val="22"/>
          <w:lang w:val="en-AU" w:bidi="ar-SA"/>
        </w:rPr>
        <w:t xml:space="preserve">its </w:t>
      </w:r>
      <w:r w:rsidRPr="002F4ADD">
        <w:rPr>
          <w:rFonts w:eastAsia="Calibri" w:cs="Arial"/>
          <w:bCs/>
          <w:szCs w:val="22"/>
          <w:lang w:val="en-AU" w:bidi="ar-SA"/>
        </w:rPr>
        <w:t>symbol.</w:t>
      </w:r>
    </w:p>
    <w:p w14:paraId="7FAECAAF" w14:textId="0BD15D8E" w:rsidR="00B158FF" w:rsidRPr="00D61E70" w:rsidRDefault="602FB847" w:rsidP="00B158FF">
      <w:pPr>
        <w:rPr>
          <w:lang w:bidi="ar-SA"/>
        </w:rPr>
      </w:pPr>
      <w:r w:rsidRPr="6771A6DB">
        <w:rPr>
          <w:lang w:bidi="ar-SA"/>
        </w:rPr>
        <w:t xml:space="preserve">The nomenclature of the gene donor and production microorganisms were </w:t>
      </w:r>
      <w:r w:rsidR="7BACEBA4" w:rsidRPr="6771A6DB">
        <w:rPr>
          <w:lang w:bidi="ar-SA"/>
        </w:rPr>
        <w:t>assessed</w:t>
      </w:r>
      <w:r w:rsidRPr="6771A6DB">
        <w:rPr>
          <w:lang w:bidi="ar-SA"/>
        </w:rPr>
        <w:t xml:space="preserve"> and confirmed as being appropriate as listed in the application. The host organism </w:t>
      </w:r>
      <w:r w:rsidR="4B85097C" w:rsidRPr="6771A6DB">
        <w:rPr>
          <w:i/>
          <w:iCs/>
          <w:lang w:bidi="ar-SA"/>
        </w:rPr>
        <w:t>B.</w:t>
      </w:r>
      <w:r w:rsidR="714A4C31" w:rsidRPr="6771A6DB">
        <w:rPr>
          <w:i/>
          <w:iCs/>
          <w:lang w:bidi="ar-SA"/>
        </w:rPr>
        <w:t xml:space="preserve"> </w:t>
      </w:r>
      <w:r w:rsidR="4B85097C" w:rsidRPr="6771A6DB">
        <w:rPr>
          <w:i/>
          <w:iCs/>
          <w:lang w:bidi="ar-SA"/>
        </w:rPr>
        <w:t>subtilis</w:t>
      </w:r>
      <w:r w:rsidRPr="6771A6DB">
        <w:rPr>
          <w:lang w:bidi="ar-SA"/>
        </w:rPr>
        <w:t xml:space="preserve"> is a commonly listed microorganism within Schedule 18</w:t>
      </w:r>
      <w:r>
        <w:t xml:space="preserve"> </w:t>
      </w:r>
      <w:r w:rsidRPr="6771A6DB">
        <w:rPr>
          <w:lang w:bidi="ar-SA"/>
        </w:rPr>
        <w:t>of the Code.</w:t>
      </w:r>
    </w:p>
    <w:p w14:paraId="5CD0A703" w14:textId="187D6FFD" w:rsidR="00BF1057" w:rsidRPr="00FA3914" w:rsidRDefault="00B158FF" w:rsidP="00BF1057">
      <w:pPr>
        <w:pStyle w:val="Heading3"/>
        <w:rPr>
          <w:color w:val="auto"/>
        </w:rPr>
      </w:pPr>
      <w:bookmarkStart w:id="66" w:name="_Toc99714085"/>
      <w:bookmarkStart w:id="67" w:name="_Toc112136702"/>
      <w:r w:rsidRPr="008A27A0">
        <w:rPr>
          <w:color w:val="auto"/>
        </w:rPr>
        <w:lastRenderedPageBreak/>
        <w:t>2.2.3</w:t>
      </w:r>
      <w:r w:rsidRPr="008A27A0">
        <w:rPr>
          <w:color w:val="auto"/>
        </w:rPr>
        <w:tab/>
        <w:t>Labelling</w:t>
      </w:r>
      <w:bookmarkStart w:id="68" w:name="_Toc59089311"/>
      <w:bookmarkStart w:id="69" w:name="_Toc99714086"/>
      <w:bookmarkEnd w:id="66"/>
      <w:bookmarkEnd w:id="67"/>
    </w:p>
    <w:p w14:paraId="3AFB11FD" w14:textId="77777777" w:rsidR="00BF1057" w:rsidRDefault="00BF1057" w:rsidP="00BF1057">
      <w:r>
        <w:rPr>
          <w:lang w:eastAsia="en-AU" w:bidi="ar-SA"/>
        </w:rPr>
        <w:t xml:space="preserve">Subject to </w:t>
      </w:r>
      <w:r w:rsidRPr="00BF1057">
        <w:rPr>
          <w:lang w:eastAsia="en-AU" w:bidi="ar-SA"/>
        </w:rPr>
        <w:t xml:space="preserve">subsections 2.2.3.1 and 2.3.3.2 below, </w:t>
      </w:r>
      <w:r w:rsidRPr="00BF1057">
        <w:t xml:space="preserve">the </w:t>
      </w:r>
      <w:r w:rsidRPr="00FC00D0">
        <w:t xml:space="preserve">generic exemption from listing processing aids in the statement of ingredients would apply to foods manufactured using this </w:t>
      </w:r>
      <w:r>
        <w:t xml:space="preserve">enzyme </w:t>
      </w:r>
      <w:r w:rsidRPr="00FC00D0">
        <w:t>processing aid (see Section 1.3</w:t>
      </w:r>
      <w:r>
        <w:t>.3</w:t>
      </w:r>
      <w:r w:rsidRPr="00FC00D0">
        <w:t xml:space="preserve"> above).</w:t>
      </w:r>
    </w:p>
    <w:p w14:paraId="4CEDF997" w14:textId="77777777" w:rsidR="00BF1057" w:rsidRDefault="00BF1057" w:rsidP="00BF1057">
      <w:pPr>
        <w:pStyle w:val="Heading4"/>
      </w:pPr>
      <w:r w:rsidRPr="00030D81">
        <w:t>2.2.</w:t>
      </w:r>
      <w:r>
        <w:t>3</w:t>
      </w:r>
      <w:r w:rsidRPr="00030D81">
        <w:t>.</w:t>
      </w:r>
      <w:r>
        <w:t>1</w:t>
      </w:r>
      <w:r w:rsidRPr="00030D81">
        <w:tab/>
        <w:t xml:space="preserve">Declaration of certain </w:t>
      </w:r>
      <w:r>
        <w:t>foods</w:t>
      </w:r>
    </w:p>
    <w:p w14:paraId="1413ADB8" w14:textId="19A5D99E" w:rsidR="00BF1057" w:rsidRPr="00614681" w:rsidRDefault="00BF1057" w:rsidP="00BF1057">
      <w:pPr>
        <w:rPr>
          <w:szCs w:val="22"/>
        </w:rPr>
      </w:pPr>
      <w:r w:rsidRPr="00735329">
        <w:rPr>
          <w:lang w:bidi="ar-SA"/>
        </w:rPr>
        <w:t>Section</w:t>
      </w:r>
      <w:r w:rsidR="004B3BE5" w:rsidRPr="00735329">
        <w:rPr>
          <w:lang w:bidi="ar-SA"/>
        </w:rPr>
        <w:t>s 2.2.1 and</w:t>
      </w:r>
      <w:r w:rsidRPr="00735329">
        <w:rPr>
          <w:lang w:bidi="ar-SA"/>
        </w:rPr>
        <w:t xml:space="preserve"> </w:t>
      </w:r>
      <w:r w:rsidR="005B00D9" w:rsidRPr="00735329">
        <w:rPr>
          <w:lang w:bidi="ar-SA"/>
        </w:rPr>
        <w:t>3.3.5</w:t>
      </w:r>
      <w:r w:rsidRPr="00735329">
        <w:rPr>
          <w:color w:val="FF0000"/>
          <w:lang w:bidi="ar-SA"/>
        </w:rPr>
        <w:t xml:space="preserve"> </w:t>
      </w:r>
      <w:r w:rsidRPr="00735329">
        <w:rPr>
          <w:lang w:bidi="ar-SA"/>
        </w:rPr>
        <w:t xml:space="preserve">of SD1 state </w:t>
      </w:r>
      <w:r w:rsidR="004B3BE5" w:rsidRPr="00735329">
        <w:rPr>
          <w:lang w:bidi="ar-SA"/>
        </w:rPr>
        <w:t>that w</w:t>
      </w:r>
      <w:r w:rsidR="004B3BE5" w:rsidRPr="00735329">
        <w:rPr>
          <w:rFonts w:cs="Arial"/>
        </w:rPr>
        <w:t>heat flour is used in the enzyme preparation</w:t>
      </w:r>
      <w:r w:rsidRPr="00735329">
        <w:rPr>
          <w:lang w:bidi="ar-SA"/>
        </w:rPr>
        <w:t>. If</w:t>
      </w:r>
      <w:r w:rsidR="005B00D9">
        <w:rPr>
          <w:lang w:bidi="ar-SA"/>
        </w:rPr>
        <w:t xml:space="preserve"> wheat</w:t>
      </w:r>
      <w:r>
        <w:rPr>
          <w:lang w:bidi="ar-SA"/>
        </w:rPr>
        <w:t xml:space="preserve"> is</w:t>
      </w:r>
      <w:r w:rsidRPr="006B7E42">
        <w:rPr>
          <w:lang w:bidi="ar-SA"/>
        </w:rPr>
        <w:t xml:space="preserve"> present in a food for sale, including when present as a processing aid or an ingredient or component of a processing aid, </w:t>
      </w:r>
      <w:r>
        <w:rPr>
          <w:lang w:bidi="ar-SA"/>
        </w:rPr>
        <w:t xml:space="preserve">it </w:t>
      </w:r>
      <w:r w:rsidRPr="006B7E42">
        <w:rPr>
          <w:szCs w:val="22"/>
        </w:rPr>
        <w:t>must</w:t>
      </w:r>
      <w:r w:rsidRPr="004C37FC">
        <w:rPr>
          <w:szCs w:val="22"/>
        </w:rPr>
        <w:t xml:space="preserve"> be declared </w:t>
      </w:r>
      <w:r>
        <w:rPr>
          <w:szCs w:val="22"/>
        </w:rPr>
        <w:t>unless an exemption applies (</w:t>
      </w:r>
      <w:r w:rsidRPr="004C37FC">
        <w:rPr>
          <w:szCs w:val="22"/>
        </w:rPr>
        <w:t xml:space="preserve">Division 3 of Standard 1.2.3). </w:t>
      </w:r>
    </w:p>
    <w:p w14:paraId="76922348" w14:textId="0F78ED7D" w:rsidR="00BF1057" w:rsidRDefault="00BF1057" w:rsidP="004B3BE5">
      <w:pPr>
        <w:rPr>
          <w:rFonts w:cs="Arial"/>
          <w:szCs w:val="22"/>
          <w:lang w:bidi="ar-SA"/>
        </w:rPr>
      </w:pPr>
      <w:r>
        <w:rPr>
          <w:rFonts w:cs="Arial"/>
        </w:rPr>
        <w:t xml:space="preserve">As noted in Section </w:t>
      </w:r>
      <w:r w:rsidR="004B3BE5">
        <w:rPr>
          <w:rFonts w:cs="Arial"/>
        </w:rPr>
        <w:t>1.2</w:t>
      </w:r>
      <w:r w:rsidRPr="00996A9A">
        <w:rPr>
          <w:rFonts w:cs="Arial"/>
          <w:color w:val="FF0000"/>
        </w:rPr>
        <w:t xml:space="preserve"> </w:t>
      </w:r>
      <w:r w:rsidRPr="004B3BE5">
        <w:rPr>
          <w:rFonts w:cs="Arial"/>
        </w:rPr>
        <w:t xml:space="preserve">of this report, </w:t>
      </w:r>
      <w:r w:rsidR="004B3BE5">
        <w:rPr>
          <w:lang w:bidi="ar-SA"/>
        </w:rPr>
        <w:t xml:space="preserve">alpha-amylase produced from a GM strain of </w:t>
      </w:r>
      <w:r w:rsidR="004B3BE5" w:rsidRPr="005C30F7">
        <w:rPr>
          <w:i/>
          <w:lang w:bidi="ar-SA"/>
        </w:rPr>
        <w:t>Bacillus subtilis</w:t>
      </w:r>
      <w:r w:rsidR="004B3BE5">
        <w:rPr>
          <w:rFonts w:cs="Arial"/>
        </w:rPr>
        <w:t xml:space="preserve"> </w:t>
      </w:r>
      <w:r>
        <w:rPr>
          <w:rFonts w:cs="Arial"/>
        </w:rPr>
        <w:t xml:space="preserve">will be used to manufacture bakery products. Bakery products made with wheat-derived ingredients (e.g. wheat flour, wheat bran) are already required to declare ‘wheat’ and ‘gluten’ declarations in accordance with requirements in Division 3 of Standard 1.2.3. Wheat-free bakery products that are manufactured using </w:t>
      </w:r>
      <w:r w:rsidR="004B3BE5">
        <w:rPr>
          <w:lang w:bidi="ar-SA"/>
        </w:rPr>
        <w:t xml:space="preserve">alpha-amylase produced from a GM strain of </w:t>
      </w:r>
      <w:r w:rsidR="004B3BE5" w:rsidRPr="005C30F7">
        <w:rPr>
          <w:i/>
          <w:lang w:bidi="ar-SA"/>
        </w:rPr>
        <w:t>Bacillus subtilis</w:t>
      </w:r>
      <w:r>
        <w:rPr>
          <w:rFonts w:cs="Arial"/>
        </w:rPr>
        <w:t xml:space="preserve"> will also be subject to ‘wheat’ and ‘gluten’ declarations if wheat and gluten from the enzyme remain in the food for sale.</w:t>
      </w:r>
    </w:p>
    <w:p w14:paraId="0933EC94" w14:textId="77777777" w:rsidR="00BF1057" w:rsidRDefault="00BF1057" w:rsidP="00BF1057">
      <w:pPr>
        <w:pStyle w:val="Heading4"/>
      </w:pPr>
      <w:r>
        <w:t>2.2.3.2</w:t>
      </w:r>
      <w:r>
        <w:tab/>
        <w:t>Labelling requirements for food produced using gene technology</w:t>
      </w:r>
    </w:p>
    <w:p w14:paraId="54794DC2" w14:textId="69E6E430" w:rsidR="00623A0A" w:rsidRPr="00B3579E" w:rsidRDefault="0BDCE7BE" w:rsidP="00623A0A">
      <w:pPr>
        <w:rPr>
          <w:rFonts w:cs="Arial"/>
          <w:lang w:val="en-AU"/>
        </w:rPr>
      </w:pPr>
      <w:bookmarkStart w:id="70" w:name="_Hlk112227460"/>
      <w:bookmarkStart w:id="71" w:name="_Toc112136703"/>
      <w:r w:rsidRPr="6771A6DB">
        <w:rPr>
          <w:rFonts w:cs="Arial"/>
          <w:lang w:val="en-AU"/>
        </w:rPr>
        <w:t>Section 1.5.2—4 of the Code generally requires a food for sale that consists of a GM food or has a GM food as an ingredient to be labelled as ‘genetically modified’, unless one of the exemptions listed in that subsection apply. If the GM food is present in the food for sale as an ingredient due to its use as a processing aid, the ‘genetically modified’ statement must be</w:t>
      </w:r>
      <w:r w:rsidR="59E81319" w:rsidRPr="6771A6DB">
        <w:rPr>
          <w:rFonts w:cs="Arial"/>
          <w:lang w:val="en-AU"/>
        </w:rPr>
        <w:t xml:space="preserve"> used</w:t>
      </w:r>
      <w:r w:rsidRPr="6771A6DB">
        <w:rPr>
          <w:rFonts w:cs="Arial"/>
          <w:lang w:val="en-AU"/>
        </w:rPr>
        <w:t xml:space="preserve"> in conjunction with the name of the GM food (subsection 1.5.2—4(2)) and it may be included in the statement of ingredients for the food for sale (subsection 1.5.2—4(3)).</w:t>
      </w:r>
    </w:p>
    <w:bookmarkEnd w:id="70"/>
    <w:p w14:paraId="0D967761" w14:textId="77777777" w:rsidR="00B158FF" w:rsidRPr="008A27A0" w:rsidRDefault="00B158FF" w:rsidP="00B158FF">
      <w:pPr>
        <w:pStyle w:val="Heading3"/>
        <w:rPr>
          <w:b w:val="0"/>
          <w:bCs w:val="0"/>
          <w:color w:val="auto"/>
        </w:rPr>
      </w:pPr>
      <w:r w:rsidRPr="008A27A0">
        <w:rPr>
          <w:bCs w:val="0"/>
          <w:color w:val="auto"/>
        </w:rPr>
        <w:t>2.2.4</w:t>
      </w:r>
      <w:r w:rsidRPr="008A27A0">
        <w:rPr>
          <w:bCs w:val="0"/>
          <w:color w:val="auto"/>
        </w:rPr>
        <w:tab/>
      </w:r>
      <w:r w:rsidRPr="008A27A0">
        <w:rPr>
          <w:color w:val="auto"/>
        </w:rPr>
        <w:t>Risk management conclusion</w:t>
      </w:r>
      <w:bookmarkEnd w:id="68"/>
      <w:bookmarkEnd w:id="69"/>
      <w:bookmarkEnd w:id="71"/>
    </w:p>
    <w:p w14:paraId="606E74F1" w14:textId="465AECA5" w:rsidR="00B158FF" w:rsidRPr="00C820AD" w:rsidRDefault="00B158FF" w:rsidP="00C820AD">
      <w:pPr>
        <w:rPr>
          <w:szCs w:val="22"/>
        </w:rPr>
      </w:pPr>
      <w:r w:rsidRPr="009326F7">
        <w:t xml:space="preserve">The risk management conclusion is to permit the enzyme </w:t>
      </w:r>
      <w:r w:rsidR="008A27A0" w:rsidRPr="009326F7">
        <w:t>alpha-</w:t>
      </w:r>
      <w:r w:rsidRPr="009326F7">
        <w:t>amylase (EC 3.2.1.</w:t>
      </w:r>
      <w:r w:rsidR="008A27A0" w:rsidRPr="009326F7">
        <w:t>1</w:t>
      </w:r>
      <w:r w:rsidRPr="009326F7">
        <w:t xml:space="preserve">) sourced from </w:t>
      </w:r>
      <w:r w:rsidR="008A27A0" w:rsidRPr="009326F7">
        <w:rPr>
          <w:i/>
        </w:rPr>
        <w:t>B. subtilis</w:t>
      </w:r>
      <w:r w:rsidRPr="009326F7">
        <w:rPr>
          <w:i/>
        </w:rPr>
        <w:t xml:space="preserve">, </w:t>
      </w:r>
      <w:r w:rsidRPr="009326F7">
        <w:t xml:space="preserve">containing the </w:t>
      </w:r>
      <w:r w:rsidR="008A27A0" w:rsidRPr="009326F7">
        <w:t>alpha-</w:t>
      </w:r>
      <w:r w:rsidRPr="009326F7">
        <w:t xml:space="preserve">amylase gene from </w:t>
      </w:r>
      <w:r w:rsidR="008A27A0" w:rsidRPr="009326F7">
        <w:rPr>
          <w:i/>
        </w:rPr>
        <w:t>T. vulgaris</w:t>
      </w:r>
      <w:r w:rsidRPr="009326F7">
        <w:t xml:space="preserve">, for use as a food processing aid. If approved, the permission would be listed in the table to subsection S18—9(3) of the Code, which includes enzymes permitted for a specific technological purpose. The technological purpose of this enzyme would be as a processing aid </w:t>
      </w:r>
      <w:r w:rsidR="009326F7" w:rsidRPr="009326F7">
        <w:rPr>
          <w:lang w:bidi="ar-SA"/>
        </w:rPr>
        <w:t xml:space="preserve">in the </w:t>
      </w:r>
      <w:r w:rsidR="009326F7" w:rsidRPr="00C820AD">
        <w:rPr>
          <w:szCs w:val="22"/>
        </w:rPr>
        <w:t>manufacture of bakery products</w:t>
      </w:r>
      <w:r w:rsidRPr="00C820AD">
        <w:rPr>
          <w:szCs w:val="22"/>
        </w:rPr>
        <w:t>. The maximum permitted level or amount of the enzyme that may be present in the food would have to be consistent with GMP. The express permission for the enzyme to be used as a processing aid in Schedule 18 of the Code would also provide the permission for the enzyme’s potential presence in the food for sale as a food produced using gene technology.</w:t>
      </w:r>
    </w:p>
    <w:p w14:paraId="75BDA69E" w14:textId="046BEC89" w:rsidR="003E1FC0" w:rsidRPr="00C820AD" w:rsidRDefault="003E1FC0" w:rsidP="00C820AD">
      <w:pPr>
        <w:rPr>
          <w:szCs w:val="22"/>
        </w:rPr>
      </w:pPr>
      <w:r w:rsidRPr="00735329">
        <w:rPr>
          <w:szCs w:val="22"/>
        </w:rPr>
        <w:t xml:space="preserve">Mandatory declarations for wheat </w:t>
      </w:r>
      <w:r w:rsidR="00DD2515" w:rsidRPr="00735329">
        <w:rPr>
          <w:szCs w:val="22"/>
        </w:rPr>
        <w:t xml:space="preserve">and gluten </w:t>
      </w:r>
      <w:r w:rsidRPr="00735329">
        <w:rPr>
          <w:szCs w:val="22"/>
        </w:rPr>
        <w:t>would apply when present in a food for sale.</w:t>
      </w:r>
    </w:p>
    <w:p w14:paraId="0EC8CC16" w14:textId="51777A5D" w:rsidR="00E520FE" w:rsidRPr="00932F14" w:rsidRDefault="008714FB" w:rsidP="00E520FE">
      <w:pPr>
        <w:pStyle w:val="Heading2"/>
      </w:pPr>
      <w:bookmarkStart w:id="72" w:name="_Toc300933435"/>
      <w:bookmarkStart w:id="73" w:name="_Toc112136704"/>
      <w:r>
        <w:t>2.3</w:t>
      </w:r>
      <w:r w:rsidR="00E520FE">
        <w:tab/>
        <w:t>Risk communication</w:t>
      </w:r>
      <w:bookmarkEnd w:id="72"/>
      <w:bookmarkEnd w:id="73"/>
      <w:r w:rsidR="00E520FE">
        <w:t xml:space="preserve"> </w:t>
      </w:r>
    </w:p>
    <w:p w14:paraId="484A2BA7" w14:textId="0374D533" w:rsidR="00E520FE" w:rsidRPr="00EE081E" w:rsidRDefault="008714FB" w:rsidP="00022DBC">
      <w:pPr>
        <w:pStyle w:val="Heading3"/>
        <w:rPr>
          <w:color w:val="auto"/>
        </w:rPr>
      </w:pPr>
      <w:bookmarkStart w:id="74" w:name="_Toc300933437"/>
      <w:bookmarkStart w:id="75" w:name="_Toc112136705"/>
      <w:bookmarkStart w:id="76" w:name="_Toc286391012"/>
      <w:r w:rsidRPr="00EE081E">
        <w:rPr>
          <w:color w:val="auto"/>
        </w:rPr>
        <w:t>2.3</w:t>
      </w:r>
      <w:r w:rsidR="00E520FE" w:rsidRPr="00EE081E">
        <w:rPr>
          <w:color w:val="auto"/>
        </w:rPr>
        <w:t>.1</w:t>
      </w:r>
      <w:r w:rsidR="00E520FE" w:rsidRPr="00EE081E">
        <w:rPr>
          <w:color w:val="auto"/>
        </w:rPr>
        <w:tab/>
        <w:t>Consultation</w:t>
      </w:r>
      <w:bookmarkEnd w:id="74"/>
      <w:bookmarkEnd w:id="75"/>
    </w:p>
    <w:p w14:paraId="7BED0795" w14:textId="77777777" w:rsidR="00EE081E" w:rsidRDefault="00EE081E" w:rsidP="00EE081E">
      <w:r>
        <w:rPr>
          <w:szCs w:val="22"/>
        </w:rPr>
        <w:t xml:space="preserve">Consultation is a key part of FSANZ’s standards development process. </w:t>
      </w:r>
      <w:r>
        <w:t xml:space="preserve">FSANZ developed and applied a standard communication strategy to this application. All calls for submissions </w:t>
      </w:r>
      <w:r>
        <w:lastRenderedPageBreak/>
        <w:t>are notified via the Food Standards Notification Circular, media release, FSANZ’s social media tools and Food Standards News.</w:t>
      </w:r>
    </w:p>
    <w:p w14:paraId="36F7D0DE" w14:textId="7A15D109" w:rsidR="00EE081E" w:rsidRDefault="00EE081E" w:rsidP="00EE081E">
      <w:r>
        <w:t>The process by which FSANZ approaches standards development matters is open, accountable, consultative and transparent. Public submissions are called to obtain the views of interested parties on issues raised by the application and the impacts of regulatory opt</w:t>
      </w:r>
      <w:r w:rsidR="00736CEF">
        <w:t>ions.</w:t>
      </w:r>
    </w:p>
    <w:p w14:paraId="21D8532D" w14:textId="2F5E7F62" w:rsidR="00EE081E" w:rsidRDefault="00EE081E" w:rsidP="00EE081E">
      <w:pPr>
        <w:rPr>
          <w:szCs w:val="22"/>
        </w:rPr>
      </w:pPr>
      <w:r>
        <w:t>The draft variation will be considered for approval by the FSANZ Board taking into account all public comments received from this call for submissions.</w:t>
      </w:r>
    </w:p>
    <w:p w14:paraId="16424F24" w14:textId="221B6581" w:rsidR="00E520FE" w:rsidRPr="00022DBC" w:rsidRDefault="00022DBC" w:rsidP="00022DBC">
      <w:pPr>
        <w:pStyle w:val="Heading3"/>
      </w:pPr>
      <w:bookmarkStart w:id="77" w:name="_Toc300761912"/>
      <w:bookmarkStart w:id="78" w:name="_Toc300933439"/>
      <w:bookmarkStart w:id="79" w:name="_Toc112136706"/>
      <w:bookmarkEnd w:id="76"/>
      <w:r w:rsidRPr="00022DBC">
        <w:t>2.</w:t>
      </w:r>
      <w:r w:rsidR="008714FB">
        <w:t>3</w:t>
      </w:r>
      <w:r w:rsidRPr="00022DBC">
        <w:t>.2</w:t>
      </w:r>
      <w:r w:rsidR="00E520FE" w:rsidRPr="00022DBC">
        <w:tab/>
        <w:t>World Trade Organization (WTO)</w:t>
      </w:r>
      <w:bookmarkEnd w:id="77"/>
      <w:bookmarkEnd w:id="78"/>
      <w:bookmarkEnd w:id="79"/>
    </w:p>
    <w:p w14:paraId="70E0396E" w14:textId="77777777" w:rsidR="00B8705C" w:rsidRPr="001F5641" w:rsidRDefault="00B8705C" w:rsidP="00B8705C">
      <w:pPr>
        <w:rPr>
          <w:rFonts w:cs="Arial"/>
        </w:rPr>
      </w:pPr>
      <w:r w:rsidRPr="001F5641">
        <w:rPr>
          <w:rFonts w:cs="Arial"/>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4CD91F33" w14:textId="69EF6219" w:rsidR="004B0350" w:rsidRPr="009B0A49" w:rsidRDefault="004B0350" w:rsidP="004B0350">
      <w:pPr>
        <w:rPr>
          <w:rFonts w:cs="Arial"/>
        </w:rPr>
      </w:pPr>
      <w:r w:rsidRPr="009B0A49">
        <w:rPr>
          <w:rFonts w:cs="Arial"/>
          <w:color w:val="000000"/>
        </w:rPr>
        <w:t xml:space="preserve">As noted </w:t>
      </w:r>
      <w:r w:rsidRPr="009B0A49">
        <w:rPr>
          <w:rFonts w:cs="Arial"/>
          <w:color w:val="000000"/>
          <w:szCs w:val="22"/>
        </w:rPr>
        <w:t>Section 1.3.4 above</w:t>
      </w:r>
      <w:r w:rsidRPr="009B0A49">
        <w:rPr>
          <w:rFonts w:cs="Arial"/>
          <w:color w:val="000000"/>
        </w:rPr>
        <w:t xml:space="preserve">, the relevant international standard setting body is the Codex Alimentarius Commission (Codex). As noted, there is no Codex Alimentarius ‘general standard’ for </w:t>
      </w:r>
      <w:r w:rsidRPr="009B0A49">
        <w:rPr>
          <w:rFonts w:cs="Arial"/>
          <w:color w:val="000000"/>
          <w:szCs w:val="22"/>
        </w:rPr>
        <w:t xml:space="preserve">processing aids, however there are JECFA and Food Chemicals Codex general specifications, and a Codex guideline on processing aids. In addition, under JECFA, </w:t>
      </w:r>
      <w:r w:rsidRPr="009B0A49">
        <w:rPr>
          <w:rFonts w:cs="Arial"/>
          <w:iCs/>
          <w:color w:val="000000"/>
          <w:szCs w:val="22"/>
        </w:rPr>
        <w:t>enzyme preparations must meet the specifications criteria contained in the individual specification monographs</w:t>
      </w:r>
      <w:r w:rsidRPr="00AB6638">
        <w:rPr>
          <w:rFonts w:cs="Arial"/>
          <w:iCs/>
          <w:color w:val="000000"/>
          <w:szCs w:val="22"/>
        </w:rPr>
        <w:t xml:space="preserve">. In the case of this particular </w:t>
      </w:r>
      <w:r w:rsidR="00EE32A8">
        <w:rPr>
          <w:rFonts w:cs="Arial"/>
          <w:iCs/>
          <w:color w:val="000000"/>
          <w:szCs w:val="22"/>
        </w:rPr>
        <w:t>alpha</w:t>
      </w:r>
      <w:r w:rsidRPr="00AB6638">
        <w:rPr>
          <w:rFonts w:cs="Arial"/>
          <w:iCs/>
          <w:color w:val="000000"/>
          <w:szCs w:val="22"/>
        </w:rPr>
        <w:t xml:space="preserve">-amylase, there </w:t>
      </w:r>
      <w:r w:rsidRPr="00AB6638">
        <w:rPr>
          <w:rFonts w:cs="Arial"/>
          <w:iCs/>
          <w:szCs w:val="22"/>
        </w:rPr>
        <w:t>is no specific monograph.</w:t>
      </w:r>
    </w:p>
    <w:p w14:paraId="61146503" w14:textId="77777777" w:rsidR="00B8705C" w:rsidRPr="001F5641" w:rsidRDefault="00B8705C" w:rsidP="00B8705C">
      <w:pPr>
        <w:tabs>
          <w:tab w:val="left" w:pos="1560"/>
        </w:tabs>
        <w:rPr>
          <w:rFonts w:cs="Arial"/>
          <w:iCs/>
        </w:rPr>
      </w:pPr>
      <w:r w:rsidRPr="001F5641">
        <w:rPr>
          <w:rFonts w:cs="Arial"/>
          <w:iCs/>
        </w:rPr>
        <w:t xml:space="preserve">Therefore, a notification to the WTO under </w:t>
      </w:r>
      <w:r w:rsidRPr="001F5641">
        <w:rPr>
          <w:rFonts w:cs="Arial"/>
        </w:rPr>
        <w:t>Australia’s and New Zealand’s</w:t>
      </w:r>
      <w:r w:rsidRPr="001F5641">
        <w:rPr>
          <w:rFonts w:cs="Arial"/>
          <w:iCs/>
        </w:rPr>
        <w:t xml:space="preserve"> obligations under the WTO Technical Barriers to Trade or Application of Sanitary and Phytosanitary Measures Agreement was not considered necessary.</w:t>
      </w:r>
    </w:p>
    <w:p w14:paraId="37AECB80" w14:textId="3D00001A" w:rsidR="00E520FE" w:rsidRDefault="00022DBC" w:rsidP="00022DBC">
      <w:pPr>
        <w:pStyle w:val="Heading2"/>
      </w:pPr>
      <w:bookmarkStart w:id="80" w:name="_Toc112136707"/>
      <w:r>
        <w:t>2.</w:t>
      </w:r>
      <w:r w:rsidR="008714FB">
        <w:t>4</w:t>
      </w:r>
      <w:r>
        <w:tab/>
        <w:t>FSANZ Act assessment requirements</w:t>
      </w:r>
      <w:bookmarkEnd w:id="80"/>
    </w:p>
    <w:p w14:paraId="47C1C5FD" w14:textId="76673FE3" w:rsidR="00726C2F" w:rsidRPr="00B8705C" w:rsidRDefault="00726C2F" w:rsidP="00726C2F">
      <w:r w:rsidRPr="00B8705C">
        <w:t xml:space="preserve">When assessing this </w:t>
      </w:r>
      <w:r w:rsidR="00B8705C" w:rsidRPr="00B8705C">
        <w:t>application</w:t>
      </w:r>
      <w:r w:rsidRPr="00B8705C">
        <w:t xml:space="preserve"> and the subsequent development of a food regulatory measure, FSANZ has had regard to the </w:t>
      </w:r>
      <w:r w:rsidRPr="00B8705C" w:rsidDel="00932F14">
        <w:t xml:space="preserve">following </w:t>
      </w:r>
      <w:r w:rsidRPr="00B8705C">
        <w:t>matters in section 29 of the FSANZ Act:</w:t>
      </w:r>
    </w:p>
    <w:p w14:paraId="6FD5689A" w14:textId="094F500C" w:rsidR="00726C2F" w:rsidRPr="00B8705C" w:rsidRDefault="00726C2F" w:rsidP="00726C2F">
      <w:pPr>
        <w:pStyle w:val="Heading3"/>
        <w:rPr>
          <w:color w:val="auto"/>
        </w:rPr>
      </w:pPr>
      <w:bookmarkStart w:id="81" w:name="_Toc112136708"/>
      <w:r w:rsidRPr="00B8705C">
        <w:rPr>
          <w:color w:val="auto"/>
        </w:rPr>
        <w:t>2.</w:t>
      </w:r>
      <w:r w:rsidR="008714FB" w:rsidRPr="00B8705C">
        <w:rPr>
          <w:color w:val="auto"/>
        </w:rPr>
        <w:t>4</w:t>
      </w:r>
      <w:r w:rsidRPr="00B8705C">
        <w:rPr>
          <w:color w:val="auto"/>
        </w:rPr>
        <w:t>.1</w:t>
      </w:r>
      <w:r w:rsidRPr="00B8705C">
        <w:rPr>
          <w:color w:val="auto"/>
        </w:rPr>
        <w:tab/>
        <w:t>Section 29</w:t>
      </w:r>
      <w:bookmarkEnd w:id="81"/>
    </w:p>
    <w:p w14:paraId="691AD926" w14:textId="1044228E" w:rsidR="00726C2F" w:rsidRPr="00B8705C" w:rsidRDefault="008714FB" w:rsidP="00726C2F">
      <w:pPr>
        <w:pStyle w:val="Heading4"/>
      </w:pPr>
      <w:r w:rsidRPr="00B8705C">
        <w:t>2.4</w:t>
      </w:r>
      <w:r w:rsidR="00195254" w:rsidRPr="00B8705C">
        <w:t>.1.1</w:t>
      </w:r>
      <w:r w:rsidR="00195254" w:rsidRPr="00B8705C">
        <w:tab/>
      </w:r>
      <w:r w:rsidR="0076519A">
        <w:t>Consideration</w:t>
      </w:r>
      <w:r w:rsidR="00195254" w:rsidRPr="00B8705C">
        <w:rPr>
          <w:lang w:val="en-AU"/>
        </w:rPr>
        <w:t xml:space="preserve"> of costs and benefits</w:t>
      </w:r>
    </w:p>
    <w:p w14:paraId="3B288948" w14:textId="1E548C55" w:rsidR="00B8705C" w:rsidRPr="00224329" w:rsidRDefault="00B8705C" w:rsidP="00B8705C">
      <w:pPr>
        <w:rPr>
          <w:lang w:bidi="ar-SA"/>
        </w:rPr>
      </w:pPr>
      <w:r w:rsidRPr="00224329">
        <w:rPr>
          <w:lang w:bidi="ar-SA"/>
        </w:rPr>
        <w:t xml:space="preserve">The Office of Best Practice Regulation (OBPR) granted FSANZ a standing exemption from the requirement to develop a Regulatory Impact Statement for </w:t>
      </w:r>
      <w:r w:rsidRPr="007B2366">
        <w:rPr>
          <w:lang w:bidi="ar-SA"/>
        </w:rPr>
        <w:t xml:space="preserve">applications relating to </w:t>
      </w:r>
      <w:r w:rsidRPr="00224329">
        <w:rPr>
          <w:lang w:bidi="ar-SA"/>
        </w:rPr>
        <w:t>processing aids</w:t>
      </w:r>
      <w:r>
        <w:rPr>
          <w:lang w:bidi="ar-SA"/>
        </w:rPr>
        <w:t xml:space="preserve"> and </w:t>
      </w:r>
      <w:r w:rsidRPr="007B2366">
        <w:rPr>
          <w:lang w:bidi="ar-SA"/>
        </w:rPr>
        <w:t>GM food</w:t>
      </w:r>
      <w:r w:rsidRPr="00224329">
        <w:rPr>
          <w:lang w:bidi="ar-SA"/>
        </w:rPr>
        <w:t xml:space="preserve"> (OBPR correspondence dated 24 November 2010, reference 12065). </w:t>
      </w:r>
      <w:r w:rsidRPr="00932AA2">
        <w:rPr>
          <w:lang w:bidi="ar-SA"/>
        </w:rPr>
        <w:t>This standing exemption was provided as permitting new GM foods and new processing aids is deregulatory as their use will be voluntary if the application</w:t>
      </w:r>
      <w:r>
        <w:rPr>
          <w:lang w:bidi="ar-SA"/>
        </w:rPr>
        <w:t xml:space="preserve"> concerned</w:t>
      </w:r>
      <w:r w:rsidRPr="00932AA2">
        <w:rPr>
          <w:lang w:bidi="ar-SA"/>
        </w:rPr>
        <w:t xml:space="preserve"> is approved. This standing exemption relates to the introduction of a food to the food supply that has been determined to be safe</w:t>
      </w:r>
      <w:r>
        <w:rPr>
          <w:lang w:bidi="ar-SA"/>
        </w:rPr>
        <w:t>.</w:t>
      </w:r>
    </w:p>
    <w:p w14:paraId="086D38EC" w14:textId="49FEC265" w:rsidR="00B8705C" w:rsidRPr="00224329" w:rsidRDefault="00B8705C" w:rsidP="00B8705C">
      <w:pPr>
        <w:rPr>
          <w:lang w:bidi="ar-SA"/>
        </w:rPr>
      </w:pPr>
      <w:r w:rsidRPr="00224329">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w:t>
      </w:r>
      <w:r>
        <w:rPr>
          <w:lang w:bidi="ar-SA"/>
        </w:rPr>
        <w:t>d measure (paragraph 29(2)(a)).</w:t>
      </w:r>
    </w:p>
    <w:p w14:paraId="4097F1BE" w14:textId="1B1F8834" w:rsidR="00B8705C" w:rsidRPr="001C2A65" w:rsidRDefault="00B8705C" w:rsidP="00B8705C">
      <w:pPr>
        <w:rPr>
          <w:lang w:bidi="ar-SA"/>
        </w:rPr>
      </w:pPr>
      <w:r w:rsidRPr="00224329">
        <w:rPr>
          <w:lang w:bidi="ar-SA"/>
        </w:rPr>
        <w:t xml:space="preserve">The purpose of this consideration is to determine if the community, government and industry as a whole is likely to benefit, on balance, from a move from the status quo (i.e. rejecting the </w:t>
      </w:r>
      <w:r w:rsidRPr="001C2A65">
        <w:rPr>
          <w:lang w:bidi="ar-SA"/>
        </w:rPr>
        <w:lastRenderedPageBreak/>
        <w:t xml:space="preserve">application). This analysis considers permitting </w:t>
      </w:r>
      <w:r w:rsidRPr="001C2A65">
        <w:t xml:space="preserve">the proposed use of </w:t>
      </w:r>
      <w:r w:rsidRPr="001C2A65">
        <w:rPr>
          <w:lang w:bidi="ar-SA"/>
        </w:rPr>
        <w:t>alpha-amylase (EC 3.2.1.1)</w:t>
      </w:r>
      <w:r w:rsidRPr="001C2A65">
        <w:t xml:space="preserve"> derived from </w:t>
      </w:r>
      <w:r w:rsidR="001C2A65" w:rsidRPr="001C2A65">
        <w:t>a GM strain of</w:t>
      </w:r>
      <w:r w:rsidR="001C2A65" w:rsidRPr="001C2A65">
        <w:rPr>
          <w:i/>
        </w:rPr>
        <w:t xml:space="preserve"> B. subtilis</w:t>
      </w:r>
      <w:r w:rsidRPr="001C2A65">
        <w:t xml:space="preserve"> as a processing aid</w:t>
      </w:r>
      <w:r w:rsidR="005E3E6C">
        <w:t xml:space="preserve"> </w:t>
      </w:r>
      <w:r w:rsidR="005E3E6C">
        <w:rPr>
          <w:lang w:bidi="ar-SA"/>
        </w:rPr>
        <w:t>in the manufacture of bakery products such as bread, steamed bread, bread buns, tortillas, cakes, pancakes, and waffles</w:t>
      </w:r>
      <w:r w:rsidRPr="001C2A65">
        <w:rPr>
          <w:lang w:bidi="ar-SA"/>
        </w:rPr>
        <w:t>.</w:t>
      </w:r>
    </w:p>
    <w:p w14:paraId="4BD2D2C5" w14:textId="77777777" w:rsidR="00B8705C" w:rsidRDefault="00B8705C" w:rsidP="00B8705C">
      <w:pPr>
        <w:rPr>
          <w:lang w:bidi="ar-SA"/>
        </w:rPr>
      </w:pPr>
      <w:r w:rsidRPr="00224329">
        <w:rPr>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w:t>
      </w:r>
      <w:r>
        <w:rPr>
          <w:lang w:bidi="ar-SA"/>
        </w:rPr>
        <w:t xml:space="preserve">proposed </w:t>
      </w:r>
      <w:r w:rsidRPr="00224329">
        <w:rPr>
          <w:lang w:bidi="ar-SA"/>
        </w:rPr>
        <w:t xml:space="preserve">use of </w:t>
      </w:r>
      <w:r>
        <w:rPr>
          <w:lang w:bidi="ar-SA"/>
        </w:rPr>
        <w:t>the enzyme</w:t>
      </w:r>
      <w:r w:rsidRPr="00224329">
        <w:rPr>
          <w:lang w:bidi="ar-SA"/>
        </w:rPr>
        <w:t>.</w:t>
      </w:r>
    </w:p>
    <w:p w14:paraId="218D310A" w14:textId="76D55343" w:rsidR="00B8705C" w:rsidRDefault="00B8705C" w:rsidP="00B8705C">
      <w:r w:rsidRPr="00A9112B">
        <w:t>FSANZ’s conclusions regarding costs and benefits of the proposed measure are set out below. However, information received from the call for submissions may result in FSANZ arriving at different conclusions.</w:t>
      </w:r>
    </w:p>
    <w:p w14:paraId="10DF11B5" w14:textId="0CA3CEB8" w:rsidR="001C2A65" w:rsidRDefault="001C2A65" w:rsidP="001C2A65">
      <w:pPr>
        <w:pStyle w:val="Heading5"/>
        <w:ind w:left="0" w:firstLine="0"/>
      </w:pPr>
      <w:r>
        <w:t xml:space="preserve">Costs and benefits of permitting the use of enzyme </w:t>
      </w:r>
      <w:r w:rsidRPr="001C2A65">
        <w:t>alpha-amylase (EC 3.2.1.1)</w:t>
      </w:r>
      <w:r>
        <w:t xml:space="preserve"> sourced from a GM strain of </w:t>
      </w:r>
      <w:r w:rsidRPr="001C2A65">
        <w:rPr>
          <w:i w:val="0"/>
        </w:rPr>
        <w:t>B. subtilis</w:t>
      </w:r>
      <w:r>
        <w:t xml:space="preserve"> as a process</w:t>
      </w:r>
      <w:r w:rsidR="004B0350">
        <w:t>ing aid (the new enzyme source)</w:t>
      </w:r>
    </w:p>
    <w:p w14:paraId="58B7101D" w14:textId="03C5C64E" w:rsidR="001C2A65" w:rsidRDefault="79F7E9ED" w:rsidP="001C2A65">
      <w:pPr>
        <w:rPr>
          <w:lang w:bidi="ar-SA"/>
        </w:rPr>
      </w:pPr>
      <w:r w:rsidRPr="6771A6DB">
        <w:rPr>
          <w:lang w:bidi="ar-SA"/>
        </w:rPr>
        <w:t xml:space="preserve">Using the enzyme </w:t>
      </w:r>
      <w:r w:rsidR="642EF6D7">
        <w:t xml:space="preserve">alpha-amylase sourced from a GM strain of </w:t>
      </w:r>
      <w:r w:rsidR="642EF6D7" w:rsidRPr="6771A6DB">
        <w:rPr>
          <w:i/>
          <w:iCs/>
        </w:rPr>
        <w:t>B. subtilis</w:t>
      </w:r>
      <w:r w:rsidR="642EF6D7" w:rsidRPr="6771A6DB">
        <w:rPr>
          <w:lang w:bidi="ar-SA"/>
        </w:rPr>
        <w:t xml:space="preserve"> </w:t>
      </w:r>
      <w:r w:rsidRPr="6771A6DB">
        <w:rPr>
          <w:lang w:bidi="ar-SA"/>
        </w:rPr>
        <w:t xml:space="preserve">may </w:t>
      </w:r>
      <w:r>
        <w:t>benefit industry by having additional choice of inputs to their manufacturing process especially if it proves cheaper, is more effective than what is presently available</w:t>
      </w:r>
      <w:r w:rsidR="11A6C1D9">
        <w:t>,</w:t>
      </w:r>
      <w:r>
        <w:t xml:space="preserve"> result</w:t>
      </w:r>
      <w:r w:rsidR="770C6779">
        <w:t>ing</w:t>
      </w:r>
      <w:r>
        <w:t xml:space="preserve"> in </w:t>
      </w:r>
      <w:r w:rsidR="0EE9E36C">
        <w:t>higher profits</w:t>
      </w:r>
      <w:r w:rsidR="6CA5CE84">
        <w:t xml:space="preserve"> or </w:t>
      </w:r>
      <w:r w:rsidR="0CF8E646">
        <w:t>better-quality</w:t>
      </w:r>
      <w:r w:rsidR="6CA5CE84">
        <w:t xml:space="preserve"> products</w:t>
      </w:r>
      <w:r>
        <w:t>.</w:t>
      </w:r>
      <w:r w:rsidRPr="6771A6DB">
        <w:rPr>
          <w:lang w:bidi="ar-SA"/>
        </w:rPr>
        <w:t xml:space="preserve"> Due to the voluntary nature of the permission, manufacturers would only use it where they believe a net benefit exists for them. Part of savings to the manufacturing industry may be passed on to consumers. </w:t>
      </w:r>
      <w:r w:rsidR="3612BA5A" w:rsidRPr="6771A6DB">
        <w:rPr>
          <w:lang w:bidi="ar-SA"/>
        </w:rPr>
        <w:t>As a result of its use c</w:t>
      </w:r>
      <w:r w:rsidRPr="6771A6DB">
        <w:rPr>
          <w:lang w:bidi="ar-SA"/>
        </w:rPr>
        <w:t>onsumers may conceivably also have access to higher quality</w:t>
      </w:r>
      <w:r w:rsidR="5A0F58AA" w:rsidRPr="6771A6DB">
        <w:rPr>
          <w:lang w:bidi="ar-SA"/>
        </w:rPr>
        <w:t xml:space="preserve"> or cheaper</w:t>
      </w:r>
      <w:r w:rsidRPr="6771A6DB">
        <w:rPr>
          <w:lang w:bidi="ar-SA"/>
        </w:rPr>
        <w:t xml:space="preserve"> products.</w:t>
      </w:r>
    </w:p>
    <w:p w14:paraId="3E03FB05" w14:textId="77777777" w:rsidR="001C2A65" w:rsidRDefault="001C2A65" w:rsidP="001C2A65">
      <w:pPr>
        <w:rPr>
          <w:lang w:bidi="ar-SA"/>
        </w:rPr>
      </w:pPr>
      <w:r>
        <w:rPr>
          <w:lang w:bidi="ar-SA"/>
        </w:rPr>
        <w:t xml:space="preserve">Permitting </w:t>
      </w:r>
      <w:r>
        <w:rPr>
          <w:lang w:val="en-AU"/>
        </w:rPr>
        <w:t>the enzyme</w:t>
      </w:r>
      <w:r>
        <w:rPr>
          <w:lang w:bidi="ar-SA"/>
        </w:rPr>
        <w:t xml:space="preserve"> to be used as a processing aid may result in a small cost to government in terms of adding this new substance to the current range of processing aids that are monitored for compliance.</w:t>
      </w:r>
    </w:p>
    <w:p w14:paraId="39C1BFBE" w14:textId="77777777" w:rsidR="001C2A65" w:rsidRDefault="001C2A65" w:rsidP="001C2A65">
      <w:pPr>
        <w:pStyle w:val="Heading5"/>
      </w:pPr>
      <w:r>
        <w:t>Conclusions from cost benefit considerations</w:t>
      </w:r>
    </w:p>
    <w:p w14:paraId="58E5AD18" w14:textId="6FD81CBE" w:rsidR="001C2A65" w:rsidRDefault="001C2A65" w:rsidP="001C2A65">
      <w:pPr>
        <w:rPr>
          <w:lang w:bidi="ar-SA"/>
        </w:rPr>
      </w:pPr>
      <w:r>
        <w:rPr>
          <w:lang w:bidi="ar-SA"/>
        </w:rPr>
        <w:t xml:space="preserve">FSANZ’s assessment is that the direct and indirect benefits that would arise from permitting </w:t>
      </w:r>
      <w:r>
        <w:t xml:space="preserve">the proposed use of the </w:t>
      </w:r>
      <w:r w:rsidR="005E5186">
        <w:rPr>
          <w:lang w:bidi="ar-SA"/>
        </w:rPr>
        <w:t xml:space="preserve">enzyme </w:t>
      </w:r>
      <w:r w:rsidR="005E5186" w:rsidRPr="001C2A65">
        <w:t xml:space="preserve">alpha-amylase </w:t>
      </w:r>
      <w:r w:rsidR="005E5186">
        <w:t xml:space="preserve">sourced from a GM strain of </w:t>
      </w:r>
      <w:r w:rsidR="005E5186" w:rsidRPr="005E5186">
        <w:rPr>
          <w:i/>
        </w:rPr>
        <w:t>B. subtilis</w:t>
      </w:r>
      <w:r w:rsidR="005E5186">
        <w:rPr>
          <w:lang w:bidi="ar-SA"/>
        </w:rPr>
        <w:t xml:space="preserve"> (as a processing aid in the manufacture of bakery products) </w:t>
      </w:r>
      <w:r>
        <w:rPr>
          <w:lang w:bidi="ar-SA"/>
        </w:rPr>
        <w:t>most likely outweigh the associated costs.</w:t>
      </w:r>
    </w:p>
    <w:p w14:paraId="571A4CCE" w14:textId="17B70FCF" w:rsidR="00726C2F" w:rsidRDefault="00726C2F" w:rsidP="00726C2F">
      <w:pPr>
        <w:pStyle w:val="Heading4"/>
      </w:pPr>
      <w:r>
        <w:t>2.</w:t>
      </w:r>
      <w:r w:rsidR="008714FB">
        <w:t>4</w:t>
      </w:r>
      <w:r>
        <w:t>.1.2</w:t>
      </w:r>
      <w:r>
        <w:tab/>
        <w:t>Other measures</w:t>
      </w:r>
    </w:p>
    <w:p w14:paraId="27016815" w14:textId="34EFEF09" w:rsidR="00726C2F" w:rsidRPr="0017126C" w:rsidRDefault="00726C2F" w:rsidP="00726C2F">
      <w:r>
        <w:t>There are no</w:t>
      </w:r>
      <w:r w:rsidRPr="007F7BF7">
        <w:t xml:space="preserve"> other measures </w:t>
      </w:r>
      <w:r>
        <w:t xml:space="preserve">(whether available to FSANZ or not) that </w:t>
      </w:r>
      <w:r w:rsidRPr="007F7BF7">
        <w:t>would</w:t>
      </w:r>
      <w:r>
        <w:t xml:space="preserve"> be more cost-</w:t>
      </w:r>
      <w:r w:rsidRPr="0017126C">
        <w:t xml:space="preserve">effective than a food regulatory measure developed or varied as a result of the </w:t>
      </w:r>
      <w:r w:rsidR="0017126C" w:rsidRPr="0017126C">
        <w:t>a</w:t>
      </w:r>
      <w:r w:rsidRPr="0017126C">
        <w:t>pplication.</w:t>
      </w:r>
    </w:p>
    <w:p w14:paraId="7C02C105" w14:textId="2080BCD4" w:rsidR="00726C2F" w:rsidRDefault="008B0075" w:rsidP="008B0075">
      <w:pPr>
        <w:pStyle w:val="Heading4"/>
      </w:pPr>
      <w:r>
        <w:t>2.</w:t>
      </w:r>
      <w:r w:rsidR="008714FB">
        <w:t>4</w:t>
      </w:r>
      <w:r>
        <w:t>.1.3</w:t>
      </w:r>
      <w:r>
        <w:tab/>
        <w:t>A</w:t>
      </w:r>
      <w:r w:rsidR="00726C2F" w:rsidRPr="00914030">
        <w:t>ny relevant New Zealand standards</w:t>
      </w:r>
    </w:p>
    <w:p w14:paraId="349E35C9" w14:textId="77777777" w:rsidR="0017126C" w:rsidRDefault="0017126C" w:rsidP="0017126C">
      <w:pPr>
        <w:rPr>
          <w:lang w:bidi="ar-SA"/>
        </w:rPr>
      </w:pPr>
      <w:r>
        <w:rPr>
          <w:lang w:bidi="ar-SA"/>
        </w:rPr>
        <w:t>The relevant standards apply</w:t>
      </w:r>
      <w:r w:rsidRPr="002F7996">
        <w:rPr>
          <w:lang w:bidi="ar-SA"/>
        </w:rPr>
        <w:t xml:space="preserve"> in both Australia and New Zealand</w:t>
      </w:r>
      <w:r>
        <w:rPr>
          <w:lang w:bidi="ar-SA"/>
        </w:rPr>
        <w:t>. T</w:t>
      </w:r>
      <w:r w:rsidRPr="002F7996">
        <w:rPr>
          <w:lang w:bidi="ar-SA"/>
        </w:rPr>
        <w:t>here are no other relevant New Zealand only standards</w:t>
      </w:r>
      <w:r>
        <w:rPr>
          <w:lang w:bidi="ar-SA"/>
        </w:rPr>
        <w:t>.</w:t>
      </w:r>
    </w:p>
    <w:p w14:paraId="60272F7E" w14:textId="2BC0728D" w:rsidR="00726C2F" w:rsidRPr="00914030" w:rsidRDefault="00BE3818" w:rsidP="00BE3818">
      <w:pPr>
        <w:pStyle w:val="Heading4"/>
      </w:pPr>
      <w:r>
        <w:t>2.</w:t>
      </w:r>
      <w:r w:rsidR="008714FB">
        <w:t>4</w:t>
      </w:r>
      <w:r>
        <w:t>.1.4</w:t>
      </w:r>
      <w:r>
        <w:tab/>
      </w:r>
      <w:r w:rsidR="0027513D">
        <w:t>A</w:t>
      </w:r>
      <w:r>
        <w:t>ny other relevant matters</w:t>
      </w:r>
    </w:p>
    <w:p w14:paraId="6FA04524" w14:textId="32E6CA41" w:rsidR="00BE3818" w:rsidRDefault="008B5567" w:rsidP="00BE3818">
      <w:pPr>
        <w:rPr>
          <w:lang w:bidi="ar-SA"/>
        </w:rPr>
      </w:pPr>
      <w:r>
        <w:t>Other relevant matters are considered be</w:t>
      </w:r>
      <w:r w:rsidR="00286DE4">
        <w:t>low.</w:t>
      </w:r>
    </w:p>
    <w:p w14:paraId="728975AE" w14:textId="52B8777F" w:rsidR="00022DBC" w:rsidRPr="00914030" w:rsidRDefault="00BE3818" w:rsidP="00022DBC">
      <w:pPr>
        <w:pStyle w:val="Heading3"/>
      </w:pPr>
      <w:bookmarkStart w:id="82" w:name="_Toc112136709"/>
      <w:bookmarkStart w:id="83" w:name="_Toc300761897"/>
      <w:bookmarkStart w:id="84" w:name="_Toc300933440"/>
      <w:r>
        <w:lastRenderedPageBreak/>
        <w:t>2.</w:t>
      </w:r>
      <w:r w:rsidR="008714FB">
        <w:t>4</w:t>
      </w:r>
      <w:r>
        <w:t>.2</w:t>
      </w:r>
      <w:r w:rsidR="00022DBC" w:rsidRPr="00914030">
        <w:t>.</w:t>
      </w:r>
      <w:r w:rsidR="00022DBC" w:rsidRPr="00914030">
        <w:tab/>
      </w:r>
      <w:r>
        <w:t>Subsection 18(1)</w:t>
      </w:r>
      <w:bookmarkEnd w:id="82"/>
      <w:bookmarkEnd w:id="83"/>
      <w:bookmarkEnd w:id="84"/>
    </w:p>
    <w:p w14:paraId="1E747AF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59D2439" w14:textId="52B16A56" w:rsidR="00022DBC" w:rsidRPr="00914030" w:rsidRDefault="00BE3818" w:rsidP="00022DBC">
      <w:pPr>
        <w:pStyle w:val="Heading4"/>
        <w:rPr>
          <w:lang w:eastAsia="en-AU"/>
        </w:rPr>
      </w:pPr>
      <w:bookmarkStart w:id="85" w:name="_Toc297029117"/>
      <w:bookmarkStart w:id="86" w:name="_Toc300761898"/>
      <w:bookmarkStart w:id="87" w:name="_Toc300933441"/>
      <w:r>
        <w:rPr>
          <w:lang w:eastAsia="en-AU"/>
        </w:rPr>
        <w:t>2.</w:t>
      </w:r>
      <w:r w:rsidR="008714FB">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5"/>
      <w:bookmarkEnd w:id="86"/>
      <w:bookmarkEnd w:id="87"/>
    </w:p>
    <w:p w14:paraId="25C499A5" w14:textId="77777777" w:rsidR="0017126C" w:rsidRPr="00D61E70" w:rsidRDefault="0017126C" w:rsidP="0017126C">
      <w:bookmarkStart w:id="88" w:name="_Toc300761899"/>
      <w:bookmarkStart w:id="89" w:name="_Toc300933442"/>
      <w:r w:rsidRPr="00D61E70">
        <w:t xml:space="preserve">FSANZ has undertaken a safety assessment (SD1) and concluded there are no public health and safety concerns with permitting the use of the enzyme </w:t>
      </w:r>
      <w:r w:rsidRPr="00D61E70">
        <w:rPr>
          <w:rFonts w:cs="Arial"/>
        </w:rPr>
        <w:t>as a processing aid in food for the proposed technological purpose.</w:t>
      </w:r>
    </w:p>
    <w:p w14:paraId="5AB0D6C5" w14:textId="3E7633B1" w:rsidR="00022DBC" w:rsidRPr="00914030" w:rsidRDefault="00BE3818" w:rsidP="00022DBC">
      <w:pPr>
        <w:pStyle w:val="Heading4"/>
        <w:rPr>
          <w:lang w:eastAsia="en-AU"/>
        </w:rPr>
      </w:pPr>
      <w:r>
        <w:rPr>
          <w:lang w:eastAsia="en-AU"/>
        </w:rPr>
        <w:t>2.</w:t>
      </w:r>
      <w:r w:rsidR="008714FB">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8"/>
      <w:bookmarkEnd w:id="89"/>
    </w:p>
    <w:p w14:paraId="5929AB8E" w14:textId="1F5CBC50" w:rsidR="0017126C" w:rsidRDefault="003E1FC0" w:rsidP="0017126C">
      <w:bookmarkStart w:id="90" w:name="_Toc300761900"/>
      <w:bookmarkStart w:id="91" w:name="_Toc300933443"/>
      <w:r w:rsidRPr="00DF3D74">
        <w:t xml:space="preserve">The labelling </w:t>
      </w:r>
      <w:r>
        <w:t>requirements</w:t>
      </w:r>
      <w:r w:rsidRPr="00DF3D74">
        <w:t xml:space="preserve"> for </w:t>
      </w:r>
      <w:r>
        <w:t>this enzyme are discussed in S</w:t>
      </w:r>
      <w:r w:rsidRPr="00081FB5">
        <w:t>ection 2.2.3</w:t>
      </w:r>
      <w:r>
        <w:t xml:space="preserve"> of this report</w:t>
      </w:r>
      <w:r w:rsidRPr="00081FB5">
        <w:t>.</w:t>
      </w:r>
    </w:p>
    <w:p w14:paraId="31B00219" w14:textId="571CA3F8" w:rsidR="00022DBC" w:rsidRPr="00914030" w:rsidRDefault="00BE3818" w:rsidP="00022DBC">
      <w:pPr>
        <w:pStyle w:val="Heading4"/>
        <w:rPr>
          <w:lang w:eastAsia="en-AU"/>
        </w:rPr>
      </w:pPr>
      <w:r>
        <w:rPr>
          <w:lang w:eastAsia="en-AU"/>
        </w:rPr>
        <w:t>2.</w:t>
      </w:r>
      <w:r w:rsidR="008714F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0"/>
      <w:bookmarkEnd w:id="91"/>
    </w:p>
    <w:p w14:paraId="5C8BD319" w14:textId="77777777" w:rsidR="0017126C" w:rsidRPr="0017126C" w:rsidRDefault="0017126C" w:rsidP="0017126C">
      <w:bookmarkStart w:id="92" w:name="_Toc300761901"/>
      <w:bookmarkStart w:id="93" w:name="_Toc300933444"/>
      <w:r w:rsidRPr="0017126C">
        <w:t>There are no issues identified with this application relevant to this objective.</w:t>
      </w:r>
    </w:p>
    <w:p w14:paraId="59D1D523" w14:textId="3AB6FEF0" w:rsidR="00022DBC" w:rsidRPr="00914030" w:rsidRDefault="00B51E03" w:rsidP="00B51E03">
      <w:pPr>
        <w:pStyle w:val="Heading3"/>
      </w:pPr>
      <w:bookmarkStart w:id="94" w:name="_Toc112136710"/>
      <w:r>
        <w:t>2.</w:t>
      </w:r>
      <w:r w:rsidR="008714FB">
        <w:t>4</w:t>
      </w:r>
      <w:r>
        <w:t>.3</w:t>
      </w:r>
      <w:r w:rsidR="00022DBC" w:rsidRPr="00914030">
        <w:tab/>
        <w:t xml:space="preserve">Subsection 18(2) </w:t>
      </w:r>
      <w:bookmarkEnd w:id="92"/>
      <w:bookmarkEnd w:id="93"/>
      <w:r w:rsidR="00022DBC" w:rsidRPr="00914030">
        <w:t>considerations</w:t>
      </w:r>
      <w:bookmarkEnd w:id="94"/>
    </w:p>
    <w:p w14:paraId="61EA8A90" w14:textId="77777777" w:rsidR="00022DBC" w:rsidRPr="00914030" w:rsidRDefault="00022DBC" w:rsidP="00022DBC">
      <w:pPr>
        <w:rPr>
          <w:rFonts w:cs="Arial"/>
        </w:rPr>
      </w:pPr>
      <w:r w:rsidRPr="00914030">
        <w:rPr>
          <w:rFonts w:cs="Arial"/>
        </w:rPr>
        <w:t>FSANZ has also had regard to:</w:t>
      </w:r>
    </w:p>
    <w:p w14:paraId="120DB88D"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A7DBD2A" w14:textId="672EA4AB" w:rsidR="0017126C" w:rsidRDefault="0017126C" w:rsidP="0017126C">
      <w:pPr>
        <w:pStyle w:val="FSBullet1"/>
        <w:numPr>
          <w:ilvl w:val="0"/>
          <w:numId w:val="0"/>
        </w:numPr>
      </w:pPr>
      <w:r>
        <w:t>FSANZ used the best available scientific evidence to conduct the risk analysis. The applicant submitted a dossier of information and scientific literature as part of its application. This dossier, together with other</w:t>
      </w:r>
      <w:r w:rsidR="00D61E70">
        <w:t xml:space="preserve"> relevant</w:t>
      </w:r>
      <w:r>
        <w:t xml:space="preserve"> technical and scientific information, was considered by FSANZ in assessing the application.</w:t>
      </w:r>
    </w:p>
    <w:p w14:paraId="30A8AA2D" w14:textId="77777777" w:rsidR="00022DBC" w:rsidRPr="008828D9" w:rsidRDefault="00022DBC" w:rsidP="00022DBC">
      <w:pPr>
        <w:pStyle w:val="FSBullet1"/>
        <w:rPr>
          <w:b/>
        </w:rPr>
      </w:pPr>
      <w:r w:rsidRPr="008828D9">
        <w:rPr>
          <w:b/>
        </w:rPr>
        <w:t>the promotion of consistency between domestic and international food standards</w:t>
      </w:r>
    </w:p>
    <w:p w14:paraId="59D31825" w14:textId="21F1B1C6" w:rsidR="0017126C" w:rsidRPr="006479B8" w:rsidRDefault="0017126C" w:rsidP="0017126C">
      <w:pPr>
        <w:pStyle w:val="FSBullet1"/>
        <w:numPr>
          <w:ilvl w:val="0"/>
          <w:numId w:val="0"/>
        </w:numPr>
      </w:pPr>
      <w:r>
        <w:t>The enzyme</w:t>
      </w:r>
      <w:r w:rsidRPr="002316F2">
        <w:t xml:space="preserve"> meets international specifications for enzyme preparations, being the JECFA Compendium of Food Additive Specifications and the Food Chemicals Codex specifications </w:t>
      </w:r>
      <w:r w:rsidRPr="006479B8">
        <w:t xml:space="preserve">for enzymes </w:t>
      </w:r>
      <w:r w:rsidRPr="00EC0CFF">
        <w:t xml:space="preserve">referred to in Section 1.3 of </w:t>
      </w:r>
      <w:r w:rsidRPr="006479B8">
        <w:t xml:space="preserve">this report. The enzyme is permitted for use in food production in </w:t>
      </w:r>
      <w:r w:rsidR="006479B8" w:rsidRPr="006479B8">
        <w:t>De</w:t>
      </w:r>
      <w:r w:rsidR="00623BD5">
        <w:t>n</w:t>
      </w:r>
      <w:r w:rsidR="006479B8" w:rsidRPr="006479B8">
        <w:t>mark and France</w:t>
      </w:r>
      <w:r w:rsidRPr="006479B8">
        <w:t>.</w:t>
      </w:r>
    </w:p>
    <w:p w14:paraId="0808DC7A" w14:textId="77777777" w:rsidR="00022DBC" w:rsidRPr="008828D9" w:rsidRDefault="00022DBC" w:rsidP="00022DBC">
      <w:pPr>
        <w:pStyle w:val="FSBullet1"/>
        <w:rPr>
          <w:b/>
        </w:rPr>
      </w:pPr>
      <w:r w:rsidRPr="008828D9">
        <w:rPr>
          <w:b/>
        </w:rPr>
        <w:t>the desirability of an efficient and internationally competitive food industry</w:t>
      </w:r>
    </w:p>
    <w:p w14:paraId="7C15A6CB" w14:textId="77777777" w:rsidR="0017126C" w:rsidRDefault="0017126C" w:rsidP="0017126C">
      <w:r w:rsidRPr="006479B8">
        <w:t xml:space="preserve">As the use of this enzyme is already permitted in Denmark and France, approval for use would bring Australia and New Zealand into line with other jurisdictions where it is already authorised for use. In this way, Australia and New Zealand will remain competitive with other </w:t>
      </w:r>
      <w:r>
        <w:t>international markets. This will also help foster continued innovation and improvements in food manufacturing techniques and processes.</w:t>
      </w:r>
    </w:p>
    <w:p w14:paraId="2C35EA2B" w14:textId="5BB3F74C" w:rsidR="0017126C" w:rsidRDefault="0017126C" w:rsidP="0017126C">
      <w:r>
        <w:t>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the various applications proposed by the applicant.</w:t>
      </w:r>
    </w:p>
    <w:p w14:paraId="67FA9DCE" w14:textId="77777777" w:rsidR="0017126C" w:rsidRDefault="0017126C" w:rsidP="0017126C">
      <w:r>
        <w:lastRenderedPageBreak/>
        <w:t>Ultimately, the domestic food industry will make their own economic decisions, taking into account the costs and benefits of using the new enzyme, to determine if it is of benefit to their particular business.</w:t>
      </w:r>
    </w:p>
    <w:p w14:paraId="58630382" w14:textId="77777777" w:rsidR="00022DBC" w:rsidRPr="008828D9" w:rsidRDefault="00022DBC" w:rsidP="00022DBC">
      <w:pPr>
        <w:pStyle w:val="FSBullet1"/>
        <w:rPr>
          <w:b/>
        </w:rPr>
      </w:pPr>
      <w:r w:rsidRPr="008828D9">
        <w:rPr>
          <w:b/>
        </w:rPr>
        <w:t>the promotion of fair trading in food</w:t>
      </w:r>
    </w:p>
    <w:p w14:paraId="044EF2F4" w14:textId="77777777" w:rsidR="0017126C" w:rsidRDefault="0017126C" w:rsidP="0017126C">
      <w:pPr>
        <w:pStyle w:val="FSBullet1"/>
        <w:numPr>
          <w:ilvl w:val="0"/>
          <w:numId w:val="0"/>
        </w:numPr>
      </w:pPr>
      <w:r w:rsidRPr="002E0B4D">
        <w:t xml:space="preserve">No issues were identified for this </w:t>
      </w:r>
      <w:r>
        <w:t>a</w:t>
      </w:r>
      <w:r w:rsidRPr="002E0B4D">
        <w:t>pplication relevant to this objective.</w:t>
      </w:r>
    </w:p>
    <w:p w14:paraId="3D718D4C" w14:textId="77777777" w:rsidR="00022DBC" w:rsidRPr="005E2F53" w:rsidRDefault="00022DBC" w:rsidP="004132BC">
      <w:pPr>
        <w:pStyle w:val="FSBullet1"/>
        <w:keepNext/>
      </w:pPr>
      <w:r w:rsidRPr="008828D9">
        <w:rPr>
          <w:b/>
        </w:rPr>
        <w:t xml:space="preserve">any written policy guidelines formulated by the </w:t>
      </w:r>
      <w:r w:rsidR="006E527D">
        <w:rPr>
          <w:b/>
        </w:rPr>
        <w:t>Forum on Food Regulation</w:t>
      </w:r>
    </w:p>
    <w:p w14:paraId="6A4F9A3E" w14:textId="77777777" w:rsidR="004132BC" w:rsidRPr="002E0B4D" w:rsidRDefault="004132BC" w:rsidP="004132BC">
      <w:bookmarkStart w:id="95" w:name="_Toc286391014"/>
      <w:bookmarkStart w:id="96" w:name="_Toc175381455"/>
      <w:bookmarkStart w:id="97" w:name="_Toc300933445"/>
      <w:bookmarkEnd w:id="32"/>
      <w:bookmarkEnd w:id="33"/>
      <w:bookmarkEnd w:id="34"/>
      <w:bookmarkEnd w:id="35"/>
      <w:bookmarkEnd w:id="36"/>
      <w:bookmarkEnd w:id="37"/>
      <w:bookmarkEnd w:id="50"/>
      <w:r w:rsidRPr="002E0B4D">
        <w:t xml:space="preserve">The Ministerial Policy Guideline </w:t>
      </w:r>
      <w:r w:rsidRPr="00B82931">
        <w:rPr>
          <w:i/>
        </w:rPr>
        <w:t>Addition to Food of Substances other than Vitamins and Minerals</w:t>
      </w:r>
      <w:r w:rsidRPr="006364C4">
        <w:rPr>
          <w:sz w:val="20"/>
          <w:szCs w:val="20"/>
          <w:vertAlign w:val="superscript"/>
        </w:rPr>
        <w:footnoteReference w:id="4"/>
      </w:r>
      <w:r w:rsidRPr="002E0B4D">
        <w:t xml:space="preserve"> includes specific order policy principles for substances added to achieve a solely technological function, such as processing aids. These specific order policy principles state that permission should be granted where:</w:t>
      </w:r>
    </w:p>
    <w:p w14:paraId="60422D5A" w14:textId="77777777" w:rsidR="004132BC" w:rsidRDefault="004132BC" w:rsidP="004132BC">
      <w:pPr>
        <w:pStyle w:val="ListParagraph"/>
        <w:widowControl/>
        <w:numPr>
          <w:ilvl w:val="0"/>
          <w:numId w:val="12"/>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65D2AD96" w14:textId="77777777" w:rsidR="004132BC" w:rsidRDefault="004132BC" w:rsidP="004132BC">
      <w:pPr>
        <w:pStyle w:val="ListParagraph"/>
        <w:widowControl/>
        <w:numPr>
          <w:ilvl w:val="0"/>
          <w:numId w:val="12"/>
        </w:numPr>
        <w:rPr>
          <w:rFonts w:cs="Arial"/>
          <w:lang w:bidi="ar-SA"/>
        </w:rPr>
      </w:pPr>
      <w:r w:rsidRPr="002E0B4D">
        <w:rPr>
          <w:rFonts w:cs="Arial"/>
          <w:lang w:bidi="ar-SA"/>
        </w:rPr>
        <w:t>the addition of the substance to food is safe for human consumption</w:t>
      </w:r>
    </w:p>
    <w:p w14:paraId="5E5A2FCD" w14:textId="77777777" w:rsidR="004132BC" w:rsidRPr="002E0B4D" w:rsidRDefault="004132BC" w:rsidP="004132BC">
      <w:pPr>
        <w:pStyle w:val="ListParagraph"/>
        <w:widowControl/>
        <w:numPr>
          <w:ilvl w:val="0"/>
          <w:numId w:val="12"/>
        </w:numPr>
        <w:rPr>
          <w:rFonts w:cs="Arial"/>
          <w:lang w:bidi="ar-SA"/>
        </w:rPr>
      </w:pPr>
      <w:r w:rsidRPr="002E0B4D">
        <w:rPr>
          <w:rFonts w:cs="Arial"/>
          <w:lang w:bidi="ar-SA"/>
        </w:rPr>
        <w:t>the amounts added are consistent with achieving the technological function</w:t>
      </w:r>
    </w:p>
    <w:p w14:paraId="44E8C348" w14:textId="77777777" w:rsidR="004132BC" w:rsidRPr="002E0B4D" w:rsidRDefault="004132BC" w:rsidP="004132BC">
      <w:pPr>
        <w:pStyle w:val="ListParagraph"/>
        <w:widowControl/>
        <w:numPr>
          <w:ilvl w:val="0"/>
          <w:numId w:val="12"/>
        </w:numPr>
        <w:rPr>
          <w:rFonts w:cs="Arial"/>
          <w:lang w:bidi="ar-SA"/>
        </w:rPr>
      </w:pPr>
      <w:r w:rsidRPr="002E0B4D">
        <w:rPr>
          <w:rFonts w:cs="Arial"/>
          <w:lang w:bidi="ar-SA"/>
        </w:rPr>
        <w:t>the substance is added in a quantity and a form which is consistent with delivering the stated purpose</w:t>
      </w:r>
    </w:p>
    <w:p w14:paraId="30988C01" w14:textId="77777777" w:rsidR="004132BC" w:rsidRPr="002E0B4D" w:rsidRDefault="004132BC" w:rsidP="004132BC">
      <w:pPr>
        <w:pStyle w:val="ListParagraph"/>
        <w:widowControl/>
        <w:numPr>
          <w:ilvl w:val="0"/>
          <w:numId w:val="12"/>
        </w:numPr>
        <w:rPr>
          <w:rFonts w:cs="Arial"/>
          <w:lang w:bidi="ar-SA"/>
        </w:rPr>
      </w:pPr>
      <w:r w:rsidRPr="002E0B4D">
        <w:rPr>
          <w:rFonts w:cs="Arial"/>
          <w:lang w:bidi="ar-SA"/>
        </w:rPr>
        <w:t>no nutrition, health or related claims are to be made in regard to the substance.</w:t>
      </w:r>
    </w:p>
    <w:p w14:paraId="180C4746" w14:textId="77777777" w:rsidR="004132BC" w:rsidRDefault="004132BC" w:rsidP="004132BC">
      <w:r>
        <w:t>FSANZ determined that permitting the proposed use of this enzyme is consistent with these specific order policy principles for ‘Technological Function’. All other relevant requirements of the policy guideline are similarly met.</w:t>
      </w:r>
    </w:p>
    <w:p w14:paraId="2B5881CD" w14:textId="0A752064" w:rsidR="005F7342" w:rsidRPr="004132BC" w:rsidRDefault="00867B23" w:rsidP="00E203C2">
      <w:pPr>
        <w:pStyle w:val="Heading1"/>
      </w:pPr>
      <w:bookmarkStart w:id="98" w:name="_Toc112136711"/>
      <w:r w:rsidRPr="004132BC">
        <w:t>3</w:t>
      </w:r>
      <w:r w:rsidR="00F604DE" w:rsidRPr="004132BC">
        <w:tab/>
      </w:r>
      <w:bookmarkEnd w:id="95"/>
      <w:bookmarkEnd w:id="96"/>
      <w:bookmarkEnd w:id="97"/>
      <w:r w:rsidR="00D14405" w:rsidRPr="004132BC">
        <w:t>Draft variation</w:t>
      </w:r>
      <w:bookmarkEnd w:id="98"/>
    </w:p>
    <w:p w14:paraId="7D7867BE" w14:textId="5363EF79" w:rsidR="00D209C9" w:rsidRPr="004132BC" w:rsidRDefault="00D209C9" w:rsidP="00D209C9">
      <w:r w:rsidRPr="004132BC">
        <w:t xml:space="preserve">The draft variation to the Code is at Attachment A and is intended to take effect on </w:t>
      </w:r>
      <w:r w:rsidR="000564DE" w:rsidRPr="004132BC">
        <w:t>gazettal</w:t>
      </w:r>
      <w:r w:rsidRPr="004132BC">
        <w:t>.</w:t>
      </w:r>
    </w:p>
    <w:p w14:paraId="5E7A3BCE" w14:textId="0AD9FC6F"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A66333">
        <w:t>.</w:t>
      </w:r>
    </w:p>
    <w:p w14:paraId="0D4F8AB3" w14:textId="77777777" w:rsidR="00924C80" w:rsidRPr="0076519A" w:rsidRDefault="00867B23" w:rsidP="00E75054">
      <w:pPr>
        <w:pStyle w:val="Heading1"/>
      </w:pPr>
      <w:bookmarkStart w:id="99" w:name="_Toc300933452"/>
      <w:bookmarkStart w:id="100" w:name="_Toc112136712"/>
      <w:bookmarkStart w:id="101" w:name="_Toc11735643"/>
      <w:bookmarkStart w:id="102" w:name="_Toc29883130"/>
      <w:bookmarkStart w:id="103" w:name="_Toc41906817"/>
      <w:bookmarkStart w:id="104" w:name="_Toc41907564"/>
      <w:bookmarkStart w:id="105" w:name="_Toc43112360"/>
      <w:r w:rsidRPr="0076519A">
        <w:t>4</w:t>
      </w:r>
      <w:r w:rsidR="00924C80" w:rsidRPr="0076519A">
        <w:tab/>
        <w:t>R</w:t>
      </w:r>
      <w:bookmarkEnd w:id="99"/>
      <w:r w:rsidR="006C28E2" w:rsidRPr="0076519A">
        <w:t>eferences</w:t>
      </w:r>
      <w:bookmarkEnd w:id="100"/>
    </w:p>
    <w:bookmarkEnd w:id="101"/>
    <w:bookmarkEnd w:id="102"/>
    <w:bookmarkEnd w:id="103"/>
    <w:bookmarkEnd w:id="104"/>
    <w:bookmarkEnd w:id="105"/>
    <w:p w14:paraId="15FFDC8C" w14:textId="77777777" w:rsidR="00B158FF" w:rsidRPr="00B158FF" w:rsidRDefault="00B158FF" w:rsidP="00B158FF">
      <w:pPr>
        <w:rPr>
          <w:rFonts w:eastAsia="Calibri"/>
          <w:sz w:val="20"/>
          <w:szCs w:val="20"/>
          <w:lang w:eastAsia="en-AU" w:bidi="ar-SA"/>
        </w:rPr>
      </w:pPr>
      <w:r w:rsidRPr="00B158FF">
        <w:rPr>
          <w:rFonts w:eastAsia="Calibri"/>
          <w:sz w:val="20"/>
          <w:szCs w:val="20"/>
          <w:lang w:eastAsia="en-AU" w:bidi="ar-SA"/>
        </w:rPr>
        <w:t xml:space="preserve">IUBMB (2018). EC 3.2.1.1 </w:t>
      </w:r>
      <w:hyperlink r:id="rId26" w:history="1">
        <w:r w:rsidRPr="00B158FF">
          <w:rPr>
            <w:rStyle w:val="Hyperlink"/>
            <w:rFonts w:eastAsia="Calibri"/>
            <w:sz w:val="20"/>
            <w:szCs w:val="20"/>
            <w:lang w:eastAsia="en-AU" w:bidi="ar-SA"/>
          </w:rPr>
          <w:t>https://iubmb.qmul.ac.uk/enzyme/EC3/2/1/1.html</w:t>
        </w:r>
      </w:hyperlink>
      <w:r w:rsidRPr="00B158FF">
        <w:rPr>
          <w:rFonts w:eastAsia="Calibri"/>
          <w:sz w:val="20"/>
          <w:szCs w:val="20"/>
          <w:lang w:eastAsia="en-AU" w:bidi="ar-SA"/>
        </w:rPr>
        <w:t xml:space="preserve"> Accessed 12 July 2022</w:t>
      </w:r>
    </w:p>
    <w:p w14:paraId="25C45CA3" w14:textId="77777777" w:rsidR="0076519A" w:rsidRPr="000C3E71" w:rsidRDefault="0076519A" w:rsidP="0076519A">
      <w:pPr>
        <w:autoSpaceDE w:val="0"/>
        <w:autoSpaceDN w:val="0"/>
        <w:adjustRightInd w:val="0"/>
        <w:rPr>
          <w:rStyle w:val="Hyperlink"/>
          <w:sz w:val="20"/>
          <w:szCs w:val="20"/>
        </w:rPr>
      </w:pPr>
      <w:r w:rsidRPr="000C3E71">
        <w:rPr>
          <w:color w:val="000000"/>
          <w:sz w:val="20"/>
          <w:szCs w:val="20"/>
        </w:rPr>
        <w:t xml:space="preserve">JECFA (2017) Combined compendium of food additive specifications (FAO JECFA Monograph 1) </w:t>
      </w:r>
      <w:hyperlink r:id="rId27" w:history="1">
        <w:r w:rsidRPr="000C3E71">
          <w:rPr>
            <w:rStyle w:val="Hyperlink"/>
            <w:sz w:val="20"/>
            <w:szCs w:val="20"/>
          </w:rPr>
          <w:t>http://www.fao.org/docrep/009/a0691e/A0691E03.htm</w:t>
        </w:r>
      </w:hyperlink>
    </w:p>
    <w:p w14:paraId="7922A8B6" w14:textId="77777777" w:rsidR="0076519A" w:rsidRPr="000C3E71" w:rsidRDefault="0076519A" w:rsidP="0076519A">
      <w:pPr>
        <w:autoSpaceDE w:val="0"/>
        <w:autoSpaceDN w:val="0"/>
        <w:adjustRightInd w:val="0"/>
        <w:rPr>
          <w:rFonts w:eastAsia="Calibri"/>
          <w:sz w:val="20"/>
          <w:szCs w:val="20"/>
          <w:lang w:eastAsia="en-AU" w:bidi="ar-SA"/>
        </w:rPr>
      </w:pPr>
      <w:r w:rsidRPr="000C3E71">
        <w:rPr>
          <w:sz w:val="20"/>
          <w:szCs w:val="20"/>
        </w:rPr>
        <w:t xml:space="preserve">USPC (2018) Food Chemicals Codex 11th Edition, United States Pharmacopeial Convention, Rockville, MD. </w:t>
      </w:r>
      <w:hyperlink r:id="rId28" w:history="1">
        <w:r w:rsidRPr="000C3E71">
          <w:rPr>
            <w:rStyle w:val="Hyperlink"/>
            <w:sz w:val="20"/>
            <w:szCs w:val="20"/>
          </w:rPr>
          <w:t>http://publications.usp.org/</w:t>
        </w:r>
      </w:hyperlink>
    </w:p>
    <w:p w14:paraId="7B83CE33"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7E56A0E2" w14:textId="7799DB6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p>
    <w:p w14:paraId="5C66F922" w14:textId="62E72548" w:rsidR="00AB0275" w:rsidRDefault="00AB0275" w:rsidP="00AB0275">
      <w:pPr>
        <w:ind w:left="567" w:hanging="567"/>
      </w:pPr>
      <w:r w:rsidRPr="00456BD5">
        <w:t>B.</w:t>
      </w:r>
      <w:r w:rsidRPr="00456BD5">
        <w:tab/>
      </w:r>
      <w:r w:rsidR="002C4A91">
        <w:t xml:space="preserve">Draft </w:t>
      </w:r>
      <w:r w:rsidR="00A66333">
        <w:t>Explanatory Statement</w:t>
      </w:r>
    </w:p>
    <w:p w14:paraId="75707114" w14:textId="77777777" w:rsidR="00D60568" w:rsidRPr="00E203C2" w:rsidRDefault="00D60568" w:rsidP="002432EE"/>
    <w:p w14:paraId="75AF0366" w14:textId="694DAD84" w:rsidR="00AB0275" w:rsidRPr="004132BC" w:rsidRDefault="00AB0275" w:rsidP="00AB0275">
      <w:pPr>
        <w:pStyle w:val="Heading2"/>
        <w:ind w:left="0" w:firstLine="0"/>
      </w:pPr>
      <w:bookmarkStart w:id="106" w:name="_Toc300933454"/>
      <w:r w:rsidRPr="00932F14">
        <w:br w:type="page"/>
      </w:r>
      <w:bookmarkStart w:id="107" w:name="_Toc29883131"/>
      <w:bookmarkStart w:id="108" w:name="_Toc41906818"/>
      <w:bookmarkStart w:id="109" w:name="_Toc41907565"/>
      <w:bookmarkStart w:id="110" w:name="_Toc120358596"/>
      <w:bookmarkStart w:id="111" w:name="_Toc175381458"/>
      <w:bookmarkStart w:id="112" w:name="_Toc11735644"/>
      <w:bookmarkStart w:id="113" w:name="_Toc415572037"/>
      <w:bookmarkStart w:id="114" w:name="_Toc112136713"/>
      <w:r w:rsidRPr="00932F14">
        <w:lastRenderedPageBreak/>
        <w:t xml:space="preserve">Attachment </w:t>
      </w:r>
      <w:bookmarkEnd w:id="107"/>
      <w:bookmarkEnd w:id="108"/>
      <w:bookmarkEnd w:id="109"/>
      <w:bookmarkEnd w:id="110"/>
      <w:bookmarkEnd w:id="111"/>
      <w:r>
        <w:t>A</w:t>
      </w:r>
      <w:bookmarkStart w:id="115" w:name="_Toc120358597"/>
      <w:bookmarkStart w:id="116" w:name="_Toc175381459"/>
      <w:bookmarkEnd w:id="112"/>
      <w:r>
        <w:t xml:space="preserve"> –</w:t>
      </w:r>
      <w:r w:rsidR="00CA3C65">
        <w:t xml:space="preserve"> </w:t>
      </w:r>
      <w:bookmarkStart w:id="117" w:name="_Toc415572039"/>
      <w:bookmarkEnd w:id="106"/>
      <w:bookmarkEnd w:id="113"/>
      <w:bookmarkEnd w:id="115"/>
      <w:bookmarkEnd w:id="116"/>
      <w:r w:rsidR="00CA3C65">
        <w:t>D</w:t>
      </w:r>
      <w:r>
        <w:t xml:space="preserve">raft </w:t>
      </w:r>
      <w:r w:rsidRPr="00932F14">
        <w:t>variation to the</w:t>
      </w:r>
      <w:r w:rsidRPr="00755F02">
        <w:t xml:space="preserve"> </w:t>
      </w:r>
      <w:r w:rsidRPr="004132BC">
        <w:t>Australia New Zealand Food Standards Code</w:t>
      </w:r>
      <w:bookmarkEnd w:id="114"/>
      <w:bookmarkEnd w:id="117"/>
    </w:p>
    <w:p w14:paraId="674AFBFC" w14:textId="77777777" w:rsidR="006872F2" w:rsidRPr="00C0014E" w:rsidRDefault="006872F2" w:rsidP="006872F2">
      <w:pPr>
        <w:rPr>
          <w:noProof/>
          <w:sz w:val="20"/>
          <w:lang w:val="en-AU" w:eastAsia="en-AU"/>
        </w:rPr>
      </w:pPr>
      <w:r w:rsidRPr="00C0014E">
        <w:rPr>
          <w:noProof/>
          <w:sz w:val="20"/>
          <w:lang w:eastAsia="en-GB" w:bidi="ar-SA"/>
        </w:rPr>
        <w:drawing>
          <wp:inline distT="0" distB="0" distL="0" distR="0" wp14:anchorId="19584ABF" wp14:editId="6B383CE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2B1E0B1" w14:textId="77777777" w:rsidR="006872F2" w:rsidRPr="006153A1" w:rsidRDefault="006872F2" w:rsidP="006872F2">
      <w:pPr>
        <w:pBdr>
          <w:bottom w:val="single" w:sz="4" w:space="1" w:color="auto"/>
        </w:pBdr>
        <w:rPr>
          <w:b/>
          <w:bCs/>
        </w:rPr>
      </w:pPr>
    </w:p>
    <w:p w14:paraId="22B5787C" w14:textId="02F3E74F" w:rsidR="006872F2" w:rsidRPr="009375B9" w:rsidRDefault="006872F2" w:rsidP="009375B9">
      <w:pPr>
        <w:pBdr>
          <w:bottom w:val="single" w:sz="4" w:space="1" w:color="auto"/>
        </w:pBdr>
        <w:rPr>
          <w:b/>
          <w:sz w:val="20"/>
        </w:rPr>
      </w:pPr>
      <w:r w:rsidRPr="006153A1">
        <w:rPr>
          <w:b/>
          <w:sz w:val="20"/>
        </w:rPr>
        <w:t>Food Standards (</w:t>
      </w:r>
      <w:r>
        <w:rPr>
          <w:b/>
          <w:sz w:val="20"/>
        </w:rPr>
        <w:t>Application A1255</w:t>
      </w:r>
      <w:r w:rsidRPr="00F618DF">
        <w:rPr>
          <w:b/>
          <w:sz w:val="20"/>
        </w:rPr>
        <w:t xml:space="preserve"> </w:t>
      </w:r>
      <w:r w:rsidRPr="00A32232">
        <w:rPr>
          <w:b/>
          <w:sz w:val="20"/>
        </w:rPr>
        <w:t>–</w:t>
      </w:r>
      <w:r>
        <w:rPr>
          <w:b/>
          <w:sz w:val="20"/>
        </w:rPr>
        <w:t xml:space="preserve"> Alpha-amylase from </w:t>
      </w:r>
      <w:r w:rsidRPr="003A6CD2">
        <w:rPr>
          <w:b/>
          <w:sz w:val="20"/>
        </w:rPr>
        <w:t xml:space="preserve">GM </w:t>
      </w:r>
      <w:r>
        <w:rPr>
          <w:b/>
          <w:i/>
          <w:sz w:val="20"/>
        </w:rPr>
        <w:t>Bacillus subtilis</w:t>
      </w:r>
      <w:r w:rsidRPr="003A6CD2">
        <w:rPr>
          <w:b/>
          <w:sz w:val="20"/>
        </w:rPr>
        <w:t xml:space="preserve"> as a processing aid</w:t>
      </w:r>
      <w:r>
        <w:rPr>
          <w:b/>
          <w:sz w:val="20"/>
        </w:rPr>
        <w:t>)</w:t>
      </w:r>
      <w:r w:rsidRPr="00C0014E">
        <w:rPr>
          <w:b/>
          <w:sz w:val="20"/>
        </w:rPr>
        <w:t xml:space="preserve"> Variation</w:t>
      </w:r>
      <w:r w:rsidR="009375B9">
        <w:rPr>
          <w:b/>
          <w:sz w:val="20"/>
        </w:rPr>
        <w:br/>
      </w:r>
    </w:p>
    <w:p w14:paraId="26DBFD86" w14:textId="0F8323DF" w:rsidR="006872F2" w:rsidRPr="008F2616" w:rsidRDefault="009375B9" w:rsidP="006872F2">
      <w:pPr>
        <w:rPr>
          <w:sz w:val="20"/>
        </w:rPr>
      </w:pPr>
      <w:r>
        <w:rPr>
          <w:sz w:val="20"/>
        </w:rPr>
        <w:br/>
      </w:r>
      <w:r w:rsidR="006872F2" w:rsidRPr="008F2616">
        <w:rPr>
          <w:sz w:val="20"/>
        </w:rPr>
        <w:t xml:space="preserve">The Board of Food Standards Australia New Zealand gives notice of the making of this variation under section 92 of the </w:t>
      </w:r>
      <w:r w:rsidR="006872F2" w:rsidRPr="008F2616">
        <w:rPr>
          <w:i/>
          <w:sz w:val="20"/>
        </w:rPr>
        <w:t>Food Standards Australia New Zealand Act 1991</w:t>
      </w:r>
      <w:r w:rsidR="006872F2" w:rsidRPr="008F2616">
        <w:rPr>
          <w:sz w:val="20"/>
        </w:rPr>
        <w:t xml:space="preserve">.  The </w:t>
      </w:r>
      <w:r w:rsidR="006872F2">
        <w:rPr>
          <w:sz w:val="20"/>
        </w:rPr>
        <w:t>variation</w:t>
      </w:r>
      <w:r w:rsidR="006872F2" w:rsidRPr="008F2616">
        <w:rPr>
          <w:sz w:val="20"/>
        </w:rPr>
        <w:t xml:space="preserve"> commences on the date specified in clause 3 of this variation.</w:t>
      </w:r>
    </w:p>
    <w:p w14:paraId="6099B44D" w14:textId="77777777" w:rsidR="006872F2" w:rsidRPr="008F2616" w:rsidRDefault="006872F2" w:rsidP="006872F2">
      <w:pPr>
        <w:rPr>
          <w:sz w:val="20"/>
        </w:rPr>
      </w:pPr>
    </w:p>
    <w:p w14:paraId="03A6D7C7" w14:textId="77777777" w:rsidR="006872F2" w:rsidRPr="008F2616" w:rsidRDefault="006872F2" w:rsidP="006872F2">
      <w:pPr>
        <w:rPr>
          <w:sz w:val="20"/>
        </w:rPr>
      </w:pPr>
      <w:r w:rsidRPr="008F2616">
        <w:rPr>
          <w:sz w:val="20"/>
        </w:rPr>
        <w:t xml:space="preserve">Dated </w:t>
      </w:r>
      <w:r w:rsidRPr="008267DB">
        <w:rPr>
          <w:color w:val="FF0000"/>
          <w:sz w:val="20"/>
        </w:rPr>
        <w:t>[To be completed by the Delegate]</w:t>
      </w:r>
    </w:p>
    <w:p w14:paraId="32B08CB0" w14:textId="77777777" w:rsidR="006872F2" w:rsidRPr="008F2616" w:rsidRDefault="006872F2" w:rsidP="006872F2">
      <w:pPr>
        <w:rPr>
          <w:sz w:val="20"/>
        </w:rPr>
      </w:pPr>
    </w:p>
    <w:p w14:paraId="3A1219E6" w14:textId="77777777" w:rsidR="006872F2" w:rsidRPr="008F2616" w:rsidRDefault="006872F2" w:rsidP="006872F2">
      <w:pPr>
        <w:rPr>
          <w:sz w:val="20"/>
        </w:rPr>
      </w:pPr>
    </w:p>
    <w:p w14:paraId="63785DDA" w14:textId="77777777" w:rsidR="006872F2" w:rsidRDefault="006872F2" w:rsidP="006872F2">
      <w:pPr>
        <w:rPr>
          <w:sz w:val="20"/>
        </w:rPr>
      </w:pPr>
    </w:p>
    <w:p w14:paraId="1BB5511C" w14:textId="77777777" w:rsidR="006872F2" w:rsidRDefault="006872F2" w:rsidP="006872F2">
      <w:pPr>
        <w:rPr>
          <w:sz w:val="20"/>
        </w:rPr>
      </w:pPr>
    </w:p>
    <w:p w14:paraId="15F55BA4" w14:textId="77777777" w:rsidR="006872F2" w:rsidRPr="008F2616" w:rsidRDefault="006872F2" w:rsidP="006872F2">
      <w:pPr>
        <w:rPr>
          <w:sz w:val="20"/>
        </w:rPr>
      </w:pPr>
    </w:p>
    <w:p w14:paraId="00C96C76" w14:textId="77777777" w:rsidR="006872F2" w:rsidRPr="008F2616" w:rsidRDefault="006872F2" w:rsidP="006872F2">
      <w:pPr>
        <w:rPr>
          <w:sz w:val="20"/>
        </w:rPr>
      </w:pPr>
    </w:p>
    <w:p w14:paraId="4A52A217" w14:textId="77777777" w:rsidR="006872F2" w:rsidRPr="008267DB" w:rsidRDefault="006872F2" w:rsidP="006872F2">
      <w:pPr>
        <w:rPr>
          <w:color w:val="FF0000"/>
          <w:sz w:val="20"/>
        </w:rPr>
      </w:pPr>
      <w:r w:rsidRPr="008267DB">
        <w:rPr>
          <w:color w:val="FF0000"/>
          <w:sz w:val="20"/>
        </w:rPr>
        <w:t>[Insert Delegate’s name and position title]</w:t>
      </w:r>
    </w:p>
    <w:p w14:paraId="5F21212D" w14:textId="77777777" w:rsidR="006872F2" w:rsidRPr="008F2616" w:rsidRDefault="006872F2" w:rsidP="006872F2">
      <w:pPr>
        <w:rPr>
          <w:sz w:val="20"/>
        </w:rPr>
      </w:pPr>
      <w:r w:rsidRPr="008F2616">
        <w:rPr>
          <w:sz w:val="20"/>
        </w:rPr>
        <w:t>Delegate of the Board of Food Standards Australia New Zealand</w:t>
      </w:r>
    </w:p>
    <w:p w14:paraId="150291F8" w14:textId="77777777" w:rsidR="006872F2" w:rsidRDefault="006872F2" w:rsidP="006872F2">
      <w:pPr>
        <w:rPr>
          <w:sz w:val="20"/>
        </w:rPr>
      </w:pPr>
    </w:p>
    <w:p w14:paraId="1EA689AC" w14:textId="77777777" w:rsidR="006872F2" w:rsidRDefault="006872F2" w:rsidP="006872F2">
      <w:pPr>
        <w:rPr>
          <w:sz w:val="20"/>
        </w:rPr>
      </w:pPr>
    </w:p>
    <w:p w14:paraId="75FC5643" w14:textId="77777777" w:rsidR="006872F2" w:rsidRDefault="006872F2" w:rsidP="006872F2">
      <w:pPr>
        <w:rPr>
          <w:sz w:val="20"/>
        </w:rPr>
      </w:pPr>
    </w:p>
    <w:p w14:paraId="6C862CD1" w14:textId="77777777" w:rsidR="006872F2" w:rsidRDefault="006872F2" w:rsidP="006872F2">
      <w:pPr>
        <w:rPr>
          <w:sz w:val="20"/>
        </w:rPr>
      </w:pPr>
    </w:p>
    <w:p w14:paraId="72723E17" w14:textId="77777777" w:rsidR="006872F2" w:rsidRDefault="006872F2" w:rsidP="006872F2">
      <w:pPr>
        <w:rPr>
          <w:sz w:val="20"/>
        </w:rPr>
      </w:pPr>
    </w:p>
    <w:p w14:paraId="23C4F56A" w14:textId="77777777" w:rsidR="006872F2" w:rsidRPr="00360C8F" w:rsidRDefault="006872F2" w:rsidP="006872F2">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6079D20" w14:textId="77777777" w:rsidR="006872F2" w:rsidRPr="00360C8F" w:rsidRDefault="006872F2" w:rsidP="006872F2">
      <w:pPr>
        <w:pBdr>
          <w:top w:val="single" w:sz="4" w:space="1" w:color="auto"/>
          <w:left w:val="single" w:sz="4" w:space="4" w:color="auto"/>
          <w:bottom w:val="single" w:sz="4" w:space="1" w:color="auto"/>
          <w:right w:val="single" w:sz="4" w:space="4" w:color="auto"/>
        </w:pBdr>
        <w:rPr>
          <w:sz w:val="20"/>
          <w:lang w:val="en-AU"/>
        </w:rPr>
      </w:pPr>
    </w:p>
    <w:p w14:paraId="7D23C89C" w14:textId="77777777" w:rsidR="006872F2" w:rsidRPr="00360C8F" w:rsidRDefault="006872F2" w:rsidP="006872F2">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0D40FC4" w14:textId="77777777" w:rsidR="006872F2" w:rsidRDefault="006872F2" w:rsidP="006872F2">
      <w:pPr>
        <w:rPr>
          <w:sz w:val="20"/>
        </w:rPr>
      </w:pPr>
    </w:p>
    <w:p w14:paraId="426DBF39" w14:textId="77777777" w:rsidR="006872F2" w:rsidRDefault="006872F2" w:rsidP="006872F2">
      <w:pPr>
        <w:rPr>
          <w:sz w:val="20"/>
        </w:rPr>
      </w:pPr>
      <w:r>
        <w:rPr>
          <w:sz w:val="20"/>
        </w:rPr>
        <w:br w:type="page"/>
      </w:r>
    </w:p>
    <w:p w14:paraId="074DD290" w14:textId="77777777" w:rsidR="006872F2" w:rsidRPr="005F585D" w:rsidRDefault="006872F2" w:rsidP="006872F2">
      <w:pPr>
        <w:pStyle w:val="FSCDraftingitemheading"/>
      </w:pPr>
      <w:r w:rsidRPr="00D433B1">
        <w:lastRenderedPageBreak/>
        <w:t>1</w:t>
      </w:r>
      <w:r w:rsidRPr="00D433B1">
        <w:tab/>
        <w:t>Name</w:t>
      </w:r>
    </w:p>
    <w:p w14:paraId="4F93A485" w14:textId="77777777" w:rsidR="006872F2" w:rsidRPr="00F618DF" w:rsidRDefault="006872F2" w:rsidP="006872F2">
      <w:pPr>
        <w:pStyle w:val="FSCDraftingitem"/>
      </w:pPr>
      <w:r w:rsidRPr="00DB170D">
        <w:t xml:space="preserve">This instrument is the </w:t>
      </w:r>
      <w:r w:rsidRPr="00792F7C">
        <w:rPr>
          <w:i/>
        </w:rPr>
        <w:t>Food Standards (</w:t>
      </w:r>
      <w:r w:rsidRPr="003A6CD2">
        <w:rPr>
          <w:i/>
        </w:rPr>
        <w:t>Application A125</w:t>
      </w:r>
      <w:r>
        <w:rPr>
          <w:i/>
        </w:rPr>
        <w:t>5</w:t>
      </w:r>
      <w:r w:rsidRPr="003A6CD2">
        <w:rPr>
          <w:i/>
        </w:rPr>
        <w:t xml:space="preserve"> – </w:t>
      </w:r>
      <w:r w:rsidRPr="00D4230D">
        <w:rPr>
          <w:i/>
        </w:rPr>
        <w:t xml:space="preserve">Alpha-amylase from GM </w:t>
      </w:r>
      <w:r w:rsidRPr="001062C1">
        <w:rPr>
          <w:iCs/>
        </w:rPr>
        <w:t>Bacillus subtilis</w:t>
      </w:r>
      <w:r w:rsidRPr="003A6CD2">
        <w:rPr>
          <w:i/>
        </w:rPr>
        <w:t xml:space="preserve"> as a processing aid) Variation</w:t>
      </w:r>
      <w:r w:rsidRPr="00F618DF">
        <w:t>.</w:t>
      </w:r>
    </w:p>
    <w:p w14:paraId="6E1B63B8" w14:textId="77777777" w:rsidR="006872F2" w:rsidRPr="00EF05C6" w:rsidRDefault="006872F2" w:rsidP="006872F2">
      <w:pPr>
        <w:pStyle w:val="FSCDraftingitemheading"/>
      </w:pPr>
      <w:r w:rsidRPr="00D433B1">
        <w:t>2</w:t>
      </w:r>
      <w:r w:rsidRPr="00D433B1">
        <w:tab/>
        <w:t xml:space="preserve">Variation to </w:t>
      </w:r>
      <w:r w:rsidRPr="00EF05C6">
        <w:t xml:space="preserve">a </w:t>
      </w:r>
      <w:r>
        <w:t>S</w:t>
      </w:r>
      <w:r w:rsidRPr="00EF05C6">
        <w:t xml:space="preserve">tandard in the </w:t>
      </w:r>
      <w:r w:rsidRPr="00EF05C6">
        <w:rPr>
          <w:i/>
        </w:rPr>
        <w:t>Australia New Zealand Food Standards Code</w:t>
      </w:r>
    </w:p>
    <w:p w14:paraId="2BCD8F25" w14:textId="77777777" w:rsidR="006872F2" w:rsidRDefault="006872F2" w:rsidP="006872F2">
      <w:pPr>
        <w:pStyle w:val="FSCDraftingitem"/>
      </w:pPr>
      <w:r w:rsidRPr="00EF05C6">
        <w:t xml:space="preserve">The Schedule varies a Standard in </w:t>
      </w:r>
      <w:r>
        <w:t xml:space="preserve">the </w:t>
      </w:r>
      <w:r w:rsidRPr="00792F7C">
        <w:rPr>
          <w:i/>
        </w:rPr>
        <w:t>Australia New Zealand Food Standards Code</w:t>
      </w:r>
      <w:r>
        <w:t>.</w:t>
      </w:r>
    </w:p>
    <w:p w14:paraId="07F93751" w14:textId="77777777" w:rsidR="006872F2" w:rsidRPr="00D433B1" w:rsidRDefault="006872F2" w:rsidP="006872F2">
      <w:pPr>
        <w:pStyle w:val="FSCDraftingitemheading"/>
      </w:pPr>
      <w:r w:rsidRPr="00D433B1">
        <w:t>3</w:t>
      </w:r>
      <w:r w:rsidRPr="00D433B1">
        <w:tab/>
        <w:t>Commencement</w:t>
      </w:r>
    </w:p>
    <w:p w14:paraId="7ECBCCBA" w14:textId="77777777" w:rsidR="006872F2" w:rsidRDefault="006872F2" w:rsidP="006872F2">
      <w:pPr>
        <w:pStyle w:val="FSCDraftingitem"/>
      </w:pPr>
      <w:r>
        <w:t>The variation commenc</w:t>
      </w:r>
      <w:r w:rsidRPr="000055C4">
        <w:t>e</w:t>
      </w:r>
      <w:r>
        <w:t>s</w:t>
      </w:r>
      <w:r w:rsidRPr="000055C4">
        <w:t xml:space="preserve"> on</w:t>
      </w:r>
      <w:r>
        <w:t xml:space="preserve"> the date of gazettal.</w:t>
      </w:r>
    </w:p>
    <w:p w14:paraId="6B7A0583" w14:textId="77777777" w:rsidR="006872F2" w:rsidRPr="00D433B1" w:rsidRDefault="006872F2" w:rsidP="006872F2">
      <w:pPr>
        <w:jc w:val="center"/>
        <w:rPr>
          <w:b/>
          <w:sz w:val="20"/>
        </w:rPr>
      </w:pPr>
      <w:r w:rsidRPr="00D433B1">
        <w:rPr>
          <w:b/>
          <w:sz w:val="20"/>
        </w:rPr>
        <w:t>Schedule</w:t>
      </w:r>
    </w:p>
    <w:p w14:paraId="43325BDD" w14:textId="77777777" w:rsidR="006872F2" w:rsidRPr="00371BF5" w:rsidRDefault="006872F2" w:rsidP="006872F2">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7DFB0F10" w14:textId="77777777" w:rsidR="006872F2" w:rsidRPr="00DC3DAD" w:rsidRDefault="006872F2" w:rsidP="006872F2">
      <w:pPr>
        <w:pStyle w:val="FSCDraftingitemheading"/>
      </w:pPr>
      <w:r w:rsidRPr="00DC3DAD">
        <w:rPr>
          <w:color w:val="000000" w:themeColor="text1"/>
        </w:rPr>
        <w:t>[1]</w:t>
      </w:r>
      <w:r w:rsidRPr="00371BF5">
        <w:rPr>
          <w:color w:val="000000" w:themeColor="text1"/>
        </w:rPr>
        <w:tab/>
      </w:r>
      <w:r w:rsidRPr="00DC3DAD">
        <w:t>Subsection S18—9(3) (table)</w:t>
      </w:r>
    </w:p>
    <w:p w14:paraId="237DDA97" w14:textId="77777777" w:rsidR="006872F2" w:rsidRDefault="006872F2" w:rsidP="006872F2">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872F2" w:rsidRPr="00DC3DAD" w14:paraId="4A14C1B6" w14:textId="77777777" w:rsidTr="00C833A0">
        <w:trPr>
          <w:jc w:val="center"/>
        </w:trPr>
        <w:tc>
          <w:tcPr>
            <w:tcW w:w="3120" w:type="dxa"/>
          </w:tcPr>
          <w:p w14:paraId="2E379D69" w14:textId="77777777" w:rsidR="006872F2" w:rsidRPr="00C5785C" w:rsidRDefault="006872F2" w:rsidP="00C833A0">
            <w:pPr>
              <w:pStyle w:val="FSCtblMain"/>
              <w:rPr>
                <w:i/>
              </w:rPr>
            </w:pPr>
            <w:r w:rsidRPr="00670699">
              <w:t>α-A</w:t>
            </w:r>
            <w:r w:rsidRPr="00037DBE">
              <w:t>mylase</w:t>
            </w:r>
            <w:r>
              <w:t xml:space="preserve"> (EC 3.2.1.1</w:t>
            </w:r>
            <w:r w:rsidRPr="005B76FA">
              <w:t xml:space="preserve">) sourced from </w:t>
            </w:r>
            <w:r w:rsidRPr="00037DBE">
              <w:rPr>
                <w:i/>
                <w:iCs/>
              </w:rPr>
              <w:t>Bacillus subtilis</w:t>
            </w:r>
            <w:r>
              <w:t xml:space="preserve"> containing the </w:t>
            </w:r>
            <w:r w:rsidRPr="00670699">
              <w:t>α-</w:t>
            </w:r>
            <w:r>
              <w:t>a</w:t>
            </w:r>
            <w:r w:rsidRPr="00037DBE">
              <w:t>mylase</w:t>
            </w:r>
            <w:r>
              <w:t xml:space="preserve"> gene from </w:t>
            </w:r>
            <w:proofErr w:type="spellStart"/>
            <w:r>
              <w:rPr>
                <w:i/>
              </w:rPr>
              <w:t>Thermoactinomyces</w:t>
            </w:r>
            <w:proofErr w:type="spellEnd"/>
            <w:r>
              <w:rPr>
                <w:i/>
              </w:rPr>
              <w:t xml:space="preserve"> vulgaris</w:t>
            </w:r>
          </w:p>
        </w:tc>
        <w:tc>
          <w:tcPr>
            <w:tcW w:w="3603" w:type="dxa"/>
          </w:tcPr>
          <w:p w14:paraId="269E94B8" w14:textId="77777777" w:rsidR="006872F2" w:rsidRPr="00037DBE" w:rsidRDefault="006872F2" w:rsidP="00C833A0">
            <w:pPr>
              <w:pStyle w:val="FSCtblMain"/>
            </w:pPr>
            <w:r>
              <w:t>For use</w:t>
            </w:r>
            <w:r w:rsidRPr="00DC3DAD">
              <w:t xml:space="preserve"> </w:t>
            </w:r>
            <w:r>
              <w:t xml:space="preserve">in </w:t>
            </w:r>
            <w:r w:rsidRPr="00325887">
              <w:rPr>
                <w:rFonts w:eastAsia="Calibri"/>
              </w:rPr>
              <w:t xml:space="preserve">the </w:t>
            </w:r>
            <w:r>
              <w:rPr>
                <w:rFonts w:eastAsia="Calibri"/>
              </w:rPr>
              <w:t>manufacture of bakery products</w:t>
            </w:r>
            <w:r>
              <w:rPr>
                <w:rStyle w:val="CommentReference"/>
                <w:rFonts w:cs="Times New Roman"/>
                <w:lang w:eastAsia="en-US"/>
              </w:rPr>
              <w:t xml:space="preserve"> </w:t>
            </w:r>
          </w:p>
        </w:tc>
        <w:tc>
          <w:tcPr>
            <w:tcW w:w="2349" w:type="dxa"/>
          </w:tcPr>
          <w:p w14:paraId="2CBC2CF0" w14:textId="77777777" w:rsidR="006872F2" w:rsidRPr="00DC3DAD" w:rsidRDefault="006872F2" w:rsidP="00C833A0">
            <w:pPr>
              <w:pStyle w:val="FSCtblMain"/>
            </w:pPr>
            <w:r w:rsidRPr="00DC3DAD">
              <w:t>GMP</w:t>
            </w:r>
          </w:p>
        </w:tc>
      </w:tr>
    </w:tbl>
    <w:p w14:paraId="56225910" w14:textId="77777777" w:rsidR="00AB0275" w:rsidRPr="00795D86" w:rsidRDefault="00AB0275" w:rsidP="00AB0275">
      <w:pPr>
        <w:rPr>
          <w:lang w:bidi="ar-SA"/>
        </w:rPr>
      </w:pPr>
    </w:p>
    <w:p w14:paraId="7EBFA223" w14:textId="77777777" w:rsidR="00AF06FC" w:rsidRDefault="00AB0275" w:rsidP="00AB0275">
      <w:pPr>
        <w:rPr>
          <w:lang w:val="en-AU" w:eastAsia="en-GB" w:bidi="ar-SA"/>
        </w:rPr>
      </w:pPr>
      <w:r w:rsidRPr="00932F14">
        <w:br w:type="page"/>
      </w:r>
    </w:p>
    <w:p w14:paraId="18BC0510" w14:textId="77777777" w:rsidR="00AB0275" w:rsidRDefault="002C4A91" w:rsidP="00AB0275">
      <w:pPr>
        <w:pStyle w:val="Heading2"/>
        <w:ind w:left="0" w:firstLine="0"/>
      </w:pPr>
      <w:bookmarkStart w:id="118" w:name="_Toc112136714"/>
      <w:r w:rsidRPr="00932F14">
        <w:lastRenderedPageBreak/>
        <w:t xml:space="preserve">Attachment </w:t>
      </w:r>
      <w:r>
        <w:t xml:space="preserve">B – </w:t>
      </w:r>
      <w:r w:rsidR="00AB0275">
        <w:t>Draft Explanatory Statement</w:t>
      </w:r>
      <w:bookmarkEnd w:id="118"/>
    </w:p>
    <w:p w14:paraId="001B0378"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6F2E97C" w14:textId="77777777" w:rsidR="005E743D" w:rsidRPr="00D13E34" w:rsidRDefault="005E743D" w:rsidP="005E743D">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241366A" w14:textId="6866DDCA" w:rsidR="005E743D" w:rsidRPr="0098456A" w:rsidRDefault="005E743D" w:rsidP="005E743D">
      <w:pPr>
        <w:autoSpaceDE w:val="0"/>
        <w:autoSpaceDN w:val="0"/>
        <w:adjustRightInd w:val="0"/>
        <w:rPr>
          <w:rFonts w:eastAsia="Calibri" w:cs="Arial"/>
          <w:bCs/>
          <w:szCs w:val="22"/>
          <w:lang w:val="en-AU" w:bidi="ar-SA"/>
        </w:rPr>
      </w:pPr>
      <w:r w:rsidRPr="0098456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w:t>
      </w:r>
      <w:r>
        <w:rPr>
          <w:rFonts w:eastAsia="Calibri" w:cs="Arial"/>
          <w:bCs/>
          <w:szCs w:val="22"/>
          <w:lang w:val="en-AU" w:bidi="ar-SA"/>
        </w:rPr>
        <w:t>measures.</w:t>
      </w:r>
    </w:p>
    <w:p w14:paraId="09144195" w14:textId="0FC2FB9F" w:rsidR="005E743D" w:rsidRDefault="00003E8A" w:rsidP="005E743D">
      <w:pPr>
        <w:autoSpaceDE w:val="0"/>
        <w:autoSpaceDN w:val="0"/>
        <w:adjustRightInd w:val="0"/>
        <w:rPr>
          <w:rFonts w:eastAsia="Calibri" w:cs="Arial"/>
          <w:bCs/>
          <w:szCs w:val="22"/>
          <w:lang w:val="en-AU" w:bidi="ar-SA"/>
        </w:rPr>
      </w:pPr>
      <w:r>
        <w:rPr>
          <w:rFonts w:eastAsia="Calibri" w:cs="Arial"/>
          <w:bCs/>
          <w:szCs w:val="22"/>
          <w:lang w:val="en-AU" w:bidi="ar-SA"/>
        </w:rPr>
        <w:t>The Authority</w:t>
      </w:r>
      <w:r w:rsidRPr="0098456A">
        <w:rPr>
          <w:rFonts w:eastAsia="Calibri" w:cs="Arial"/>
          <w:bCs/>
          <w:szCs w:val="22"/>
          <w:lang w:val="en-AU" w:bidi="ar-SA"/>
        </w:rPr>
        <w:t xml:space="preserve"> </w:t>
      </w:r>
      <w:r w:rsidR="005E743D" w:rsidRPr="0098456A">
        <w:rPr>
          <w:rFonts w:eastAsia="Calibri" w:cs="Arial"/>
          <w:bCs/>
          <w:szCs w:val="22"/>
          <w:lang w:val="en-AU" w:bidi="ar-SA"/>
        </w:rPr>
        <w:t>accepted Application A12</w:t>
      </w:r>
      <w:r w:rsidR="005E743D">
        <w:rPr>
          <w:rFonts w:eastAsia="Calibri" w:cs="Arial"/>
          <w:bCs/>
          <w:szCs w:val="22"/>
          <w:lang w:val="en-AU" w:bidi="ar-SA"/>
        </w:rPr>
        <w:t xml:space="preserve">55 which sought permission to use </w:t>
      </w:r>
      <w:r w:rsidR="005E743D">
        <w:rPr>
          <w:lang w:bidi="ar-SA"/>
        </w:rPr>
        <w:t xml:space="preserve">alpha-amylase (EC 3.2.1.1) </w:t>
      </w:r>
      <w:r w:rsidR="005E743D" w:rsidRPr="0098456A">
        <w:rPr>
          <w:rFonts w:eastAsia="Calibri" w:cs="Arial"/>
          <w:bCs/>
          <w:szCs w:val="22"/>
          <w:lang w:val="en-AU" w:bidi="ar-SA"/>
        </w:rPr>
        <w:t xml:space="preserve">from a genetically modified </w:t>
      </w:r>
      <w:r w:rsidR="005E743D">
        <w:rPr>
          <w:rFonts w:eastAsia="Calibri" w:cs="Arial"/>
          <w:bCs/>
          <w:szCs w:val="22"/>
          <w:lang w:val="en-AU" w:bidi="ar-SA"/>
        </w:rPr>
        <w:t xml:space="preserve">(GM) </w:t>
      </w:r>
      <w:r w:rsidR="005E743D" w:rsidRPr="0098456A">
        <w:rPr>
          <w:rFonts w:eastAsia="Calibri" w:cs="Arial"/>
          <w:bCs/>
          <w:szCs w:val="22"/>
          <w:lang w:val="en-AU" w:bidi="ar-SA"/>
        </w:rPr>
        <w:t xml:space="preserve">strain of </w:t>
      </w:r>
      <w:r w:rsidR="005E743D">
        <w:rPr>
          <w:i/>
          <w:lang w:bidi="ar-SA"/>
        </w:rPr>
        <w:t>Bacillus subtilis</w:t>
      </w:r>
      <w:r w:rsidR="005E743D">
        <w:rPr>
          <w:rFonts w:eastAsia="Calibri" w:cs="Arial"/>
          <w:bCs/>
          <w:szCs w:val="22"/>
          <w:lang w:val="en-AU" w:bidi="ar-SA"/>
        </w:rPr>
        <w:t xml:space="preserve"> as a new processing aid for use </w:t>
      </w:r>
      <w:r w:rsidR="005E743D" w:rsidRPr="0098456A">
        <w:rPr>
          <w:rFonts w:eastAsia="Calibri" w:cs="Arial"/>
          <w:bCs/>
          <w:szCs w:val="22"/>
          <w:lang w:val="en-AU" w:bidi="ar-SA"/>
        </w:rPr>
        <w:t>in</w:t>
      </w:r>
      <w:r w:rsidR="005E743D">
        <w:rPr>
          <w:rFonts w:eastAsia="Calibri" w:cs="Arial"/>
          <w:bCs/>
          <w:szCs w:val="22"/>
          <w:lang w:val="en-AU" w:bidi="ar-SA"/>
        </w:rPr>
        <w:t xml:space="preserve"> </w:t>
      </w:r>
      <w:r w:rsidR="005E743D" w:rsidRPr="0098456A">
        <w:rPr>
          <w:rFonts w:eastAsia="Calibri" w:cs="Arial"/>
          <w:bCs/>
          <w:szCs w:val="22"/>
          <w:lang w:val="en-AU" w:bidi="ar-SA"/>
        </w:rPr>
        <w:t>the ma</w:t>
      </w:r>
      <w:r w:rsidR="005E743D">
        <w:rPr>
          <w:rFonts w:eastAsia="Calibri" w:cs="Arial"/>
          <w:bCs/>
          <w:szCs w:val="22"/>
          <w:lang w:val="en-AU" w:bidi="ar-SA"/>
        </w:rPr>
        <w:t>nufacture of bakery products</w:t>
      </w:r>
      <w:r w:rsidR="005E743D" w:rsidRPr="0098456A">
        <w:rPr>
          <w:rFonts w:eastAsia="Calibri" w:cs="Arial"/>
          <w:bCs/>
          <w:szCs w:val="22"/>
          <w:lang w:val="en-AU" w:bidi="ar-SA"/>
        </w:rPr>
        <w:t>. Th</w:t>
      </w:r>
      <w:r w:rsidR="005E743D">
        <w:rPr>
          <w:rFonts w:eastAsia="Calibri" w:cs="Arial"/>
          <w:bCs/>
          <w:szCs w:val="22"/>
          <w:lang w:val="en-AU" w:bidi="ar-SA"/>
        </w:rPr>
        <w:t>e Authority considered the a</w:t>
      </w:r>
      <w:r w:rsidR="005E743D" w:rsidRPr="0098456A">
        <w:rPr>
          <w:rFonts w:eastAsia="Calibri" w:cs="Arial"/>
          <w:bCs/>
          <w:szCs w:val="22"/>
          <w:lang w:val="en-AU" w:bidi="ar-SA"/>
        </w:rPr>
        <w:t>pplication in accordance with Division 1 of Part 3 and has prepared</w:t>
      </w:r>
      <w:r w:rsidR="005E743D">
        <w:rPr>
          <w:rFonts w:eastAsia="Calibri" w:cs="Arial"/>
          <w:bCs/>
          <w:szCs w:val="22"/>
          <w:lang w:val="en-AU" w:bidi="ar-SA"/>
        </w:rPr>
        <w:t xml:space="preserve"> a draft variation.</w:t>
      </w:r>
    </w:p>
    <w:p w14:paraId="75537D1A"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72ECD85D" w14:textId="77777777" w:rsidR="00BF45FA" w:rsidRPr="008531CC" w:rsidRDefault="00BF45FA" w:rsidP="00BF45FA">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30" w:history="1">
        <w:r w:rsidRPr="008531CC">
          <w:rPr>
            <w:rFonts w:cs="Arial"/>
            <w:color w:val="3333FF"/>
            <w:u w:val="single"/>
          </w:rPr>
          <w:t>www.legislation.gov.au</w:t>
        </w:r>
      </w:hyperlink>
      <w:r w:rsidRPr="008531CC">
        <w:rPr>
          <w:rFonts w:cs="Arial"/>
        </w:rPr>
        <w:t>).</w:t>
      </w:r>
    </w:p>
    <w:p w14:paraId="2F8D6D25" w14:textId="77777777" w:rsidR="00BF45FA" w:rsidRPr="00FB45C7" w:rsidRDefault="00BF45FA" w:rsidP="00BF45FA">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A00CA1B" w14:textId="77777777" w:rsidR="00BF45FA" w:rsidRDefault="00BF45FA" w:rsidP="00BF45F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6301230" w14:textId="2E7E6BE0" w:rsidR="00AB0275" w:rsidRDefault="00BF45FA" w:rsidP="00AB0275">
      <w:pPr>
        <w:rPr>
          <w:b/>
          <w:lang w:val="en-AU" w:eastAsia="en-GB" w:bidi="ar-SA"/>
        </w:rPr>
      </w:pPr>
      <w:r>
        <w:rPr>
          <w:b/>
          <w:lang w:val="en-AU" w:eastAsia="en-GB" w:bidi="ar-SA"/>
        </w:rPr>
        <w:t>3</w:t>
      </w:r>
      <w:r w:rsidR="00A66333">
        <w:rPr>
          <w:b/>
          <w:lang w:val="en-AU" w:eastAsia="en-GB" w:bidi="ar-SA"/>
        </w:rPr>
        <w:t>.</w:t>
      </w:r>
      <w:r w:rsidR="00A66333">
        <w:rPr>
          <w:b/>
          <w:lang w:val="en-AU" w:eastAsia="en-GB" w:bidi="ar-SA"/>
        </w:rPr>
        <w:tab/>
        <w:t>Purpose</w:t>
      </w:r>
    </w:p>
    <w:p w14:paraId="073C1007" w14:textId="320C6882" w:rsidR="005E743D" w:rsidRPr="001423F0" w:rsidRDefault="005E743D" w:rsidP="005E743D">
      <w:pPr>
        <w:rPr>
          <w:lang w:val="en-AU" w:eastAsia="en-GB" w:bidi="ar-SA"/>
        </w:rPr>
      </w:pPr>
      <w:r>
        <w:rPr>
          <w:lang w:val="en-AU" w:eastAsia="en-GB" w:bidi="ar-SA"/>
        </w:rPr>
        <w:t xml:space="preserve">The Authority has </w:t>
      </w:r>
      <w:r w:rsidRPr="001423F0">
        <w:rPr>
          <w:lang w:val="en-AU" w:eastAsia="en-GB" w:bidi="ar-SA"/>
        </w:rPr>
        <w:t>prepared a draft variation amending the table to subsection S18––9(3) in Schedule 18 of the Code to permit the us</w:t>
      </w:r>
      <w:r>
        <w:rPr>
          <w:lang w:val="en-AU" w:eastAsia="en-GB" w:bidi="ar-SA"/>
        </w:rPr>
        <w:t xml:space="preserve">e of the enzyme </w:t>
      </w:r>
      <w:r>
        <w:rPr>
          <w:lang w:bidi="ar-SA"/>
        </w:rPr>
        <w:t xml:space="preserve">alpha-amylase (EC 3.2.1.1) </w:t>
      </w:r>
      <w:r>
        <w:rPr>
          <w:lang w:val="en-AU" w:eastAsia="en-GB" w:bidi="ar-SA"/>
        </w:rPr>
        <w:t xml:space="preserve">from a specific GM strain of </w:t>
      </w:r>
      <w:r w:rsidRPr="005E743D">
        <w:rPr>
          <w:i/>
          <w:lang w:val="en-AU" w:eastAsia="en-GB" w:bidi="ar-SA"/>
        </w:rPr>
        <w:t>B.</w:t>
      </w:r>
      <w:r>
        <w:rPr>
          <w:i/>
          <w:lang w:val="en-AU" w:eastAsia="en-GB" w:bidi="ar-SA"/>
        </w:rPr>
        <w:t xml:space="preserve"> subtilis</w:t>
      </w:r>
      <w:r>
        <w:rPr>
          <w:lang w:val="en-AU" w:eastAsia="en-GB" w:bidi="ar-SA"/>
        </w:rPr>
        <w:t xml:space="preserve"> as a processing aid in the manufacture of </w:t>
      </w:r>
      <w:r w:rsidR="00A66333">
        <w:rPr>
          <w:lang w:val="en-AU" w:eastAsia="en-GB" w:bidi="ar-SA"/>
        </w:rPr>
        <w:t xml:space="preserve">bakery </w:t>
      </w:r>
      <w:r>
        <w:rPr>
          <w:lang w:val="en-AU" w:eastAsia="en-GB" w:bidi="ar-SA"/>
        </w:rPr>
        <w:t>products. This permission would be</w:t>
      </w:r>
      <w:r w:rsidRPr="001423F0">
        <w:rPr>
          <w:lang w:val="en-AU" w:eastAsia="en-GB" w:bidi="ar-SA"/>
        </w:rPr>
        <w:t xml:space="preserve"> subject to the condition that the amount of enzyme used must be consistent with </w:t>
      </w:r>
      <w:r w:rsidR="00230A5D">
        <w:rPr>
          <w:lang w:val="en-AU" w:eastAsia="en-GB" w:bidi="ar-SA"/>
        </w:rPr>
        <w:t>G</w:t>
      </w:r>
      <w:r w:rsidRPr="001423F0">
        <w:rPr>
          <w:lang w:val="en-AU" w:eastAsia="en-GB" w:bidi="ar-SA"/>
        </w:rPr>
        <w:t xml:space="preserve">ood </w:t>
      </w:r>
      <w:r w:rsidR="00230A5D">
        <w:rPr>
          <w:lang w:val="en-AU" w:eastAsia="en-GB" w:bidi="ar-SA"/>
        </w:rPr>
        <w:t>M</w:t>
      </w:r>
      <w:r w:rsidRPr="001423F0">
        <w:rPr>
          <w:lang w:val="en-AU" w:eastAsia="en-GB" w:bidi="ar-SA"/>
        </w:rPr>
        <w:t xml:space="preserve">anufacturing </w:t>
      </w:r>
      <w:r w:rsidR="00230A5D">
        <w:rPr>
          <w:lang w:val="en-AU" w:eastAsia="en-GB" w:bidi="ar-SA"/>
        </w:rPr>
        <w:t>P</w:t>
      </w:r>
      <w:r w:rsidRPr="001423F0">
        <w:rPr>
          <w:lang w:val="en-AU" w:eastAsia="en-GB" w:bidi="ar-SA"/>
        </w:rPr>
        <w:t>ractice (GMP).</w:t>
      </w:r>
    </w:p>
    <w:p w14:paraId="702B551A" w14:textId="77777777" w:rsidR="00AB0275" w:rsidRPr="000576EB" w:rsidRDefault="00BF45FA" w:rsidP="00AB0275">
      <w:pPr>
        <w:rPr>
          <w:b/>
          <w:lang w:val="en-AU" w:eastAsia="en-GB" w:bidi="ar-SA"/>
        </w:rPr>
      </w:pPr>
      <w:r>
        <w:rPr>
          <w:b/>
          <w:lang w:val="en-AU" w:eastAsia="en-GB" w:bidi="ar-SA"/>
        </w:rPr>
        <w:lastRenderedPageBreak/>
        <w:t>4</w:t>
      </w:r>
      <w:r w:rsidR="00AB0275" w:rsidRPr="000576EB">
        <w:rPr>
          <w:b/>
          <w:lang w:val="en-AU" w:eastAsia="en-GB" w:bidi="ar-SA"/>
        </w:rPr>
        <w:t>.</w:t>
      </w:r>
      <w:r w:rsidR="00AB0275" w:rsidRPr="000576EB">
        <w:rPr>
          <w:b/>
          <w:lang w:val="en-AU" w:eastAsia="en-GB" w:bidi="ar-SA"/>
        </w:rPr>
        <w:tab/>
        <w:t>Documents incorporated by reference</w:t>
      </w:r>
    </w:p>
    <w:p w14:paraId="5D1E472A" w14:textId="77777777" w:rsidR="00A66333" w:rsidRDefault="00A66333" w:rsidP="00A66333">
      <w:pPr>
        <w:autoSpaceDE w:val="0"/>
        <w:autoSpaceDN w:val="0"/>
        <w:adjustRightInd w:val="0"/>
        <w:rPr>
          <w:rFonts w:eastAsia="Calibri" w:cs="Arial"/>
          <w:bCs/>
          <w:szCs w:val="22"/>
          <w:lang w:val="en-AU" w:bidi="ar-SA"/>
        </w:rPr>
      </w:pPr>
      <w:r>
        <w:rPr>
          <w:rFonts w:eastAsia="Calibri" w:cs="Arial"/>
          <w:bCs/>
          <w:szCs w:val="22"/>
          <w:lang w:val="en-AU" w:bidi="ar-SA"/>
        </w:rPr>
        <w:t>The draft variation</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3CDB50E7" w14:textId="261011C2" w:rsidR="00A66333" w:rsidRDefault="00A66333" w:rsidP="00A66333">
      <w:pPr>
        <w:rPr>
          <w:rFonts w:eastAsia="Calibri" w:cs="Arial"/>
          <w:bCs/>
          <w:szCs w:val="22"/>
          <w:lang w:val="en-AU" w:bidi="ar-SA"/>
        </w:rPr>
      </w:pPr>
      <w:r>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t xml:space="preserve">Combined </w:t>
      </w:r>
      <w:r w:rsidRPr="0038585F">
        <w:rPr>
          <w:color w:val="000000" w:themeColor="text1"/>
        </w:rPr>
        <w:t>Compendium of Food Additive Specifications (</w:t>
      </w:r>
      <w:r w:rsidRPr="00236396">
        <w:rPr>
          <w:color w:val="000000" w:themeColor="text1"/>
        </w:rPr>
        <w:t>FAO JECFA Monographs 23 (2019)</w:t>
      </w:r>
      <w:r w:rsidRPr="0038585F">
        <w:rPr>
          <w:color w:val="000000" w:themeColor="text1"/>
        </w:rPr>
        <w:t xml:space="preserve">) and the </w:t>
      </w:r>
      <w:r w:rsidRPr="0038585F">
        <w:t>United State</w:t>
      </w:r>
      <w:r>
        <w:t>s Pharmacopeial Convention (2020</w:t>
      </w:r>
      <w:r w:rsidRPr="0038585F">
        <w:t>) Food Chemicals Codex (1</w:t>
      </w:r>
      <w:r>
        <w:t>2</w:t>
      </w:r>
      <w:r w:rsidRPr="0038585F">
        <w:rPr>
          <w:vertAlign w:val="superscript"/>
        </w:rPr>
        <w:t>th</w:t>
      </w:r>
      <w:r w:rsidRPr="0038585F">
        <w:t xml:space="preserve"> edition).</w:t>
      </w:r>
      <w:r>
        <w:t xml:space="preserve"> These include specifications for </w:t>
      </w:r>
      <w:r w:rsidR="00003E8A">
        <w:t xml:space="preserve">the identity and purity of </w:t>
      </w:r>
      <w:r>
        <w:t>enzyme preparations used in food processing.</w:t>
      </w:r>
    </w:p>
    <w:p w14:paraId="77D07439"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3B3BEED4" w14:textId="3FECF9CA" w:rsidR="00A66333" w:rsidRDefault="00AB0275" w:rsidP="00A66333">
      <w:pPr>
        <w:rPr>
          <w:szCs w:val="22"/>
        </w:rPr>
      </w:pPr>
      <w:r w:rsidRPr="00A66333">
        <w:rPr>
          <w:szCs w:val="22"/>
        </w:rPr>
        <w:t xml:space="preserve">In accordance with the procedure in Division </w:t>
      </w:r>
      <w:r w:rsidR="00A66333" w:rsidRPr="00A66333">
        <w:rPr>
          <w:szCs w:val="22"/>
        </w:rPr>
        <w:t>1</w:t>
      </w:r>
      <w:r w:rsidRPr="00A66333">
        <w:rPr>
          <w:szCs w:val="22"/>
        </w:rPr>
        <w:t xml:space="preserve"> of Part </w:t>
      </w:r>
      <w:r w:rsidR="00A66333" w:rsidRPr="00A66333">
        <w:rPr>
          <w:szCs w:val="22"/>
        </w:rPr>
        <w:t>3</w:t>
      </w:r>
      <w:r w:rsidRPr="00A66333">
        <w:rPr>
          <w:szCs w:val="22"/>
        </w:rPr>
        <w:t xml:space="preserve"> of the FSANZ Act, </w:t>
      </w:r>
      <w:r w:rsidRPr="00A66333">
        <w:rPr>
          <w:rFonts w:eastAsia="Calibri" w:cs="Arial"/>
          <w:bCs/>
          <w:szCs w:val="22"/>
          <w:lang w:val="en-AU" w:bidi="ar-SA"/>
        </w:rPr>
        <w:t>the Authority</w:t>
      </w:r>
      <w:r w:rsidRPr="00A66333">
        <w:rPr>
          <w:szCs w:val="22"/>
        </w:rPr>
        <w:t>’s consideration of Application A</w:t>
      </w:r>
      <w:r w:rsidR="00A66333" w:rsidRPr="00A66333">
        <w:rPr>
          <w:szCs w:val="22"/>
        </w:rPr>
        <w:t>1255</w:t>
      </w:r>
      <w:r w:rsidRPr="00A66333">
        <w:rPr>
          <w:szCs w:val="22"/>
        </w:rPr>
        <w:t xml:space="preserve"> will include one round of public consultation following an assessment and the preparation of a draft </w:t>
      </w:r>
      <w:r w:rsidR="00A66333" w:rsidRPr="00A66333">
        <w:rPr>
          <w:szCs w:val="22"/>
        </w:rPr>
        <w:t>variation</w:t>
      </w:r>
      <w:r w:rsidRPr="00A66333">
        <w:rPr>
          <w:szCs w:val="22"/>
        </w:rPr>
        <w:t xml:space="preserve"> and associated </w:t>
      </w:r>
      <w:r w:rsidR="006211CD" w:rsidRPr="00A66333">
        <w:rPr>
          <w:szCs w:val="22"/>
        </w:rPr>
        <w:t>assessment summary</w:t>
      </w:r>
      <w:r w:rsidR="00334396">
        <w:rPr>
          <w:szCs w:val="22"/>
        </w:rPr>
        <w:t>.</w:t>
      </w:r>
      <w:r w:rsidR="00A66333" w:rsidRPr="00A66333">
        <w:rPr>
          <w:szCs w:val="22"/>
        </w:rPr>
        <w:t xml:space="preserve"> A </w:t>
      </w:r>
      <w:r w:rsidR="00A66333" w:rsidRPr="00C57EE5">
        <w:rPr>
          <w:szCs w:val="22"/>
        </w:rPr>
        <w:t xml:space="preserve">call for submissions (including the draft variation) will </w:t>
      </w:r>
      <w:r w:rsidR="00A66333">
        <w:rPr>
          <w:szCs w:val="22"/>
        </w:rPr>
        <w:t>be open</w:t>
      </w:r>
      <w:r w:rsidR="00A66333" w:rsidRPr="00C57EE5">
        <w:rPr>
          <w:szCs w:val="22"/>
        </w:rPr>
        <w:t xml:space="preserve"> for a </w:t>
      </w:r>
      <w:r w:rsidR="00A66333">
        <w:rPr>
          <w:szCs w:val="22"/>
        </w:rPr>
        <w:t>six</w:t>
      </w:r>
      <w:r w:rsidR="00A66333" w:rsidRPr="00227FEC">
        <w:rPr>
          <w:szCs w:val="22"/>
        </w:rPr>
        <w:t>-week</w:t>
      </w:r>
      <w:r w:rsidR="00A66333" w:rsidRPr="00F24C7A">
        <w:rPr>
          <w:szCs w:val="22"/>
        </w:rPr>
        <w:t xml:space="preserve"> </w:t>
      </w:r>
      <w:r w:rsidR="00A66333" w:rsidRPr="00C57EE5">
        <w:rPr>
          <w:szCs w:val="22"/>
        </w:rPr>
        <w:t>period.</w:t>
      </w:r>
    </w:p>
    <w:p w14:paraId="18FBFA0C" w14:textId="77777777" w:rsidR="00A66333" w:rsidRDefault="00A66333" w:rsidP="00A66333">
      <w:pPr>
        <w:rPr>
          <w:rFonts w:eastAsia="Calibri" w:cs="Arial"/>
          <w:bCs/>
          <w:szCs w:val="22"/>
          <w:lang w:val="en-AU" w:bidi="ar-SA"/>
        </w:rPr>
      </w:pPr>
      <w:r w:rsidRPr="00227FEC">
        <w:rPr>
          <w:rFonts w:eastAsia="Calibri" w:cs="Arial"/>
          <w:bCs/>
          <w:szCs w:val="22"/>
          <w:lang w:val="en-AU" w:bidi="ar-SA"/>
        </w:rPr>
        <w:t xml:space="preserve">The Office of Best Practice Regulation (OBPR) granted </w:t>
      </w:r>
      <w:r>
        <w:rPr>
          <w:rFonts w:eastAsia="Calibri" w:cs="Arial"/>
          <w:bCs/>
          <w:szCs w:val="22"/>
          <w:lang w:val="en-AU" w:bidi="ar-SA"/>
        </w:rPr>
        <w:t>the Authority</w:t>
      </w:r>
      <w:r w:rsidRPr="00227FEC">
        <w:rPr>
          <w:rFonts w:eastAsia="Calibri" w:cs="Arial"/>
          <w:bCs/>
          <w:szCs w:val="22"/>
          <w:lang w:val="en-AU" w:bidi="ar-SA"/>
        </w:rPr>
        <w:t xml:space="preserve"> a standing exemption from the requirement to develop a Regulatory Impact Statement for applications relating to permitting new processing aids and GM foods (OBPR correspondence dated 24 November 2010, reference 12065). This standing exemption was provided as permitting </w:t>
      </w:r>
      <w:r w:rsidRPr="00247AA8">
        <w:rPr>
          <w:rFonts w:eastAsia="Calibri" w:cs="Arial"/>
          <w:bCs/>
          <w:szCs w:val="22"/>
          <w:lang w:val="en-AU" w:bidi="ar-SA"/>
        </w:rPr>
        <w:t xml:space="preserve">new processing aids </w:t>
      </w:r>
      <w:r>
        <w:rPr>
          <w:rFonts w:eastAsia="Calibri" w:cs="Arial"/>
          <w:bCs/>
          <w:szCs w:val="22"/>
          <w:lang w:val="en-AU" w:bidi="ar-SA"/>
        </w:rPr>
        <w:t xml:space="preserve">and GM foods </w:t>
      </w:r>
      <w:r w:rsidRPr="00247AA8">
        <w:rPr>
          <w:rFonts w:eastAsia="Calibri" w:cs="Arial"/>
          <w:bCs/>
          <w:szCs w:val="22"/>
          <w:lang w:val="en-AU" w:bidi="ar-SA"/>
        </w:rPr>
        <w:t>is deregulatory as their use will be voluntary if the application is approved</w:t>
      </w:r>
      <w:r w:rsidRPr="00227FEC">
        <w:rPr>
          <w:rFonts w:eastAsia="Calibri" w:cs="Arial"/>
          <w:bCs/>
          <w:szCs w:val="22"/>
          <w:lang w:val="en-AU" w:bidi="ar-SA"/>
        </w:rPr>
        <w:t>. This standing exemption relates to the introduction of a food to the food supply that has been determined to be safe.</w:t>
      </w:r>
    </w:p>
    <w:p w14:paraId="1769115E" w14:textId="77777777" w:rsidR="00AB0275" w:rsidRDefault="00BF45FA" w:rsidP="00AB0275">
      <w:pPr>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0EAA5658" w14:textId="49D2BE2B" w:rsidR="00AB0275" w:rsidRDefault="00BF45FA" w:rsidP="00AB0275">
      <w:pPr>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w:t>
      </w:r>
      <w:r w:rsidR="00A66333">
        <w:rPr>
          <w:rFonts w:eastAsiaTheme="minorHAnsi"/>
          <w:lang w:val="en-AU" w:bidi="ar-SA"/>
        </w:rPr>
        <w:t>would be</w:t>
      </w:r>
      <w:r w:rsidR="00AB0275">
        <w:rPr>
          <w:rFonts w:eastAsiaTheme="minorHAnsi"/>
          <w:lang w:val="en-AU" w:bidi="ar-SA"/>
        </w:rPr>
        <w:t xml:space="preserve"> 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57654C">
        <w:rPr>
          <w:rFonts w:eastAsiaTheme="minorHAnsi"/>
          <w:i/>
          <w:lang w:val="en-AU" w:bidi="ar-SA"/>
        </w:rPr>
        <w:t>Legislation Act 2003</w:t>
      </w:r>
      <w:r w:rsidR="00003E8A">
        <w:rPr>
          <w:rFonts w:eastAsiaTheme="minorHAnsi"/>
          <w:lang w:val="en-AU" w:bidi="ar-SA"/>
        </w:rPr>
        <w:t xml:space="preserve"> (</w:t>
      </w:r>
      <w:proofErr w:type="spellStart"/>
      <w:r w:rsidR="00003E8A">
        <w:rPr>
          <w:rFonts w:eastAsiaTheme="minorHAnsi"/>
          <w:lang w:val="en-AU" w:bidi="ar-SA"/>
        </w:rPr>
        <w:t>Cth</w:t>
      </w:r>
      <w:proofErr w:type="spellEnd"/>
      <w:r w:rsidR="00003E8A">
        <w:rPr>
          <w:rFonts w:eastAsiaTheme="minorHAnsi"/>
          <w:lang w:val="en-AU" w:bidi="ar-SA"/>
        </w:rPr>
        <w:t>)</w:t>
      </w:r>
      <w:r w:rsidR="00AB0275">
        <w:rPr>
          <w:rFonts w:eastAsiaTheme="minorHAnsi"/>
          <w:lang w:val="en-AU" w:bidi="ar-SA"/>
        </w:rPr>
        <w:t>.</w:t>
      </w:r>
    </w:p>
    <w:p w14:paraId="3CCBA90F" w14:textId="77777777"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7271DBCA" w14:textId="12556522" w:rsidR="00A66333" w:rsidRDefault="00A66333" w:rsidP="00A66333">
      <w:r>
        <w:t>Item [1] of the draft variation would insert a new entry</w:t>
      </w:r>
      <w:r w:rsidR="00003E8A">
        <w:t>, in alphabetical order,</w:t>
      </w:r>
      <w:r>
        <w:t xml:space="preserve"> into the table to subsection S18—9(3). The new entry would consist of the following enzyme</w:t>
      </w:r>
      <w:r w:rsidR="00003E8A">
        <w:t xml:space="preserve"> in column 1 of the table</w:t>
      </w:r>
      <w:r>
        <w:t>:</w:t>
      </w:r>
    </w:p>
    <w:p w14:paraId="35CB6934" w14:textId="36DF80BE" w:rsidR="00A66333" w:rsidRDefault="00A66333" w:rsidP="00A66333">
      <w:pPr>
        <w:pStyle w:val="ListParagraph"/>
        <w:numPr>
          <w:ilvl w:val="0"/>
          <w:numId w:val="15"/>
        </w:numPr>
      </w:pPr>
      <w:r>
        <w:t>‘</w:t>
      </w:r>
      <w:r>
        <w:rPr>
          <w:rFonts w:cs="Arial"/>
          <w:lang w:bidi="ar-SA"/>
        </w:rPr>
        <w:t>α</w:t>
      </w:r>
      <w:r>
        <w:rPr>
          <w:lang w:bidi="ar-SA"/>
        </w:rPr>
        <w:t xml:space="preserve">-Amylase (EC 3.2.1.1) </w:t>
      </w:r>
      <w:r w:rsidRPr="004227AD">
        <w:t>sourced from</w:t>
      </w:r>
      <w:r w:rsidRPr="006A40A7">
        <w:rPr>
          <w:i/>
        </w:rPr>
        <w:t xml:space="preserve"> </w:t>
      </w:r>
      <w:r>
        <w:rPr>
          <w:i/>
        </w:rPr>
        <w:t>Bacillus subtilis</w:t>
      </w:r>
      <w:r w:rsidRPr="006A40A7">
        <w:rPr>
          <w:i/>
        </w:rPr>
        <w:t xml:space="preserve"> </w:t>
      </w:r>
      <w:r w:rsidRPr="00384212">
        <w:t xml:space="preserve">containing the </w:t>
      </w:r>
      <w:r>
        <w:rPr>
          <w:rFonts w:cs="Arial"/>
        </w:rPr>
        <w:t>α</w:t>
      </w:r>
      <w:r>
        <w:t xml:space="preserve">-amylase gene </w:t>
      </w:r>
      <w:r w:rsidRPr="00384212">
        <w:t>from</w:t>
      </w:r>
      <w:r>
        <w:t xml:space="preserve"> </w:t>
      </w:r>
      <w:proofErr w:type="spellStart"/>
      <w:r>
        <w:rPr>
          <w:i/>
          <w:lang w:bidi="ar-SA"/>
        </w:rPr>
        <w:t>Thermoactinomyces</w:t>
      </w:r>
      <w:proofErr w:type="spellEnd"/>
      <w:r>
        <w:rPr>
          <w:i/>
          <w:lang w:bidi="ar-SA"/>
        </w:rPr>
        <w:t xml:space="preserve"> vulgaris</w:t>
      </w:r>
      <w:r>
        <w:rPr>
          <w:lang w:bidi="ar-SA"/>
        </w:rPr>
        <w:t>’</w:t>
      </w:r>
    </w:p>
    <w:p w14:paraId="3F07A177" w14:textId="68510182" w:rsidR="00A66333" w:rsidRDefault="00A66333" w:rsidP="00A66333">
      <w:pPr>
        <w:rPr>
          <w:lang w:val="en-AU" w:eastAsia="en-GB" w:bidi="ar-SA"/>
        </w:rPr>
      </w:pPr>
      <w:r w:rsidRPr="006A702D">
        <w:t xml:space="preserve">The </w:t>
      </w:r>
      <w:r>
        <w:t xml:space="preserve">permitted </w:t>
      </w:r>
      <w:r w:rsidRPr="006A702D">
        <w:t>tech</w:t>
      </w:r>
      <w:r>
        <w:t xml:space="preserve">nological purpose for this enzyme would be </w:t>
      </w:r>
      <w:r w:rsidR="00003E8A">
        <w:t>prescribed in column 2 of the table</w:t>
      </w:r>
      <w:r w:rsidR="00003E8A" w:rsidRPr="0097435F">
        <w:t xml:space="preserve"> </w:t>
      </w:r>
      <w:r w:rsidR="00003E8A">
        <w:t xml:space="preserve">as </w:t>
      </w:r>
      <w:r>
        <w:t>use as a processing aid in</w:t>
      </w:r>
      <w:r w:rsidDel="00081E66">
        <w:rPr>
          <w:lang w:val="en-AU"/>
        </w:rPr>
        <w:t xml:space="preserve"> </w:t>
      </w:r>
      <w:bookmarkStart w:id="119" w:name="_Toc11735637"/>
      <w:bookmarkStart w:id="120" w:name="_Toc29883122"/>
      <w:bookmarkStart w:id="121" w:name="_Toc41906809"/>
      <w:bookmarkStart w:id="122" w:name="_Toc41907556"/>
      <w:bookmarkStart w:id="123" w:name="_Toc120358587"/>
      <w:bookmarkStart w:id="124" w:name="_Toc175381446"/>
      <w:bookmarkStart w:id="125" w:name="_Toc175381454"/>
      <w:bookmarkEnd w:id="119"/>
      <w:bookmarkEnd w:id="120"/>
      <w:bookmarkEnd w:id="121"/>
      <w:bookmarkEnd w:id="122"/>
      <w:bookmarkEnd w:id="123"/>
      <w:bookmarkEnd w:id="124"/>
      <w:bookmarkEnd w:id="125"/>
      <w:r>
        <w:rPr>
          <w:lang w:val="en-AU"/>
        </w:rPr>
        <w:t>the manufacture of bakery products</w:t>
      </w:r>
      <w:r>
        <w:rPr>
          <w:lang w:val="en-AU" w:eastAsia="en-GB" w:bidi="ar-SA"/>
        </w:rPr>
        <w:t>.</w:t>
      </w:r>
    </w:p>
    <w:p w14:paraId="3EC1FA77" w14:textId="5F0393CF" w:rsidR="00A66333" w:rsidRDefault="00A66333" w:rsidP="0057654C">
      <w:pPr>
        <w:rPr>
          <w:rFonts w:eastAsia="Calibri" w:cs="Arial"/>
          <w:bCs/>
          <w:szCs w:val="22"/>
          <w:lang w:val="en-AU" w:bidi="ar-SA"/>
        </w:rPr>
      </w:pPr>
      <w:r>
        <w:rPr>
          <w:rFonts w:eastAsia="Calibri" w:cs="Arial"/>
          <w:bCs/>
          <w:szCs w:val="22"/>
          <w:lang w:val="en-AU" w:bidi="ar-SA"/>
        </w:rPr>
        <w:t>T</w:t>
      </w:r>
      <w:r w:rsidRPr="006A702D">
        <w:rPr>
          <w:rFonts w:eastAsia="Calibri" w:cs="Arial"/>
          <w:bCs/>
          <w:szCs w:val="22"/>
          <w:lang w:val="en-AU" w:bidi="ar-SA"/>
        </w:rPr>
        <w:t xml:space="preserve">he permission </w:t>
      </w:r>
      <w:r>
        <w:rPr>
          <w:rFonts w:eastAsia="Calibri" w:cs="Arial"/>
          <w:bCs/>
          <w:szCs w:val="22"/>
          <w:lang w:val="en-AU" w:bidi="ar-SA"/>
        </w:rPr>
        <w:t>would be</w:t>
      </w:r>
      <w:r w:rsidRPr="006A702D">
        <w:rPr>
          <w:rFonts w:eastAsia="Calibri" w:cs="Arial"/>
          <w:bCs/>
          <w:szCs w:val="22"/>
          <w:lang w:val="en-AU" w:bidi="ar-SA"/>
        </w:rPr>
        <w:t xml:space="preserve"> subject to the condition</w:t>
      </w:r>
      <w:r w:rsidR="00003E8A">
        <w:rPr>
          <w:rFonts w:eastAsia="Calibri" w:cs="Arial"/>
          <w:bCs/>
          <w:szCs w:val="22"/>
          <w:lang w:val="en-AU" w:bidi="ar-SA"/>
        </w:rPr>
        <w:t xml:space="preserve">, </w:t>
      </w:r>
      <w:r w:rsidR="00003E8A" w:rsidRPr="00485C89">
        <w:rPr>
          <w:rFonts w:eastAsia="Calibri" w:cs="Arial"/>
          <w:bCs/>
          <w:szCs w:val="22"/>
          <w:lang w:val="en-AU" w:bidi="ar-SA"/>
        </w:rPr>
        <w:t>as</w:t>
      </w:r>
      <w:r w:rsidR="00003E8A" w:rsidRPr="00485C89">
        <w:rPr>
          <w:rFonts w:eastAsia="Calibri" w:cs="Arial"/>
          <w:bCs/>
          <w:szCs w:val="22"/>
          <w:lang w:bidi="ar-SA"/>
        </w:rPr>
        <w:t xml:space="preserve"> prescribed in column 3 of the table,</w:t>
      </w:r>
      <w:r w:rsidRPr="008C1242">
        <w:rPr>
          <w:szCs w:val="22"/>
        </w:rPr>
        <w:t xml:space="preserve"> 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w:t>
      </w:r>
      <w:r>
        <w:rPr>
          <w:szCs w:val="22"/>
        </w:rPr>
        <w:t>GMP</w:t>
      </w:r>
      <w:r w:rsidRPr="008C1242">
        <w:rPr>
          <w:rFonts w:eastAsia="Calibri" w:cs="Arial"/>
          <w:bCs/>
          <w:szCs w:val="22"/>
          <w:lang w:val="en-AU" w:bidi="ar-SA"/>
        </w:rPr>
        <w:t>.</w:t>
      </w:r>
    </w:p>
    <w:p w14:paraId="1A91703D" w14:textId="0D96E8F7" w:rsidR="007C174F" w:rsidRPr="00A66333" w:rsidRDefault="00A66333" w:rsidP="00A66333">
      <w:pPr>
        <w:rPr>
          <w:i/>
        </w:rPr>
      </w:pPr>
      <w:r>
        <w:rPr>
          <w:rFonts w:eastAsia="Calibri" w:cs="Arial"/>
          <w:bCs/>
          <w:szCs w:val="22"/>
          <w:lang w:val="en-AU" w:bidi="ar-SA"/>
        </w:rPr>
        <w:t xml:space="preserve">If approved, the draft variation would permit the proposed use of </w:t>
      </w:r>
      <w:r>
        <w:rPr>
          <w:lang w:bidi="ar-SA"/>
        </w:rPr>
        <w:t xml:space="preserve">alpha-amylase (EC 3.2.1.1) </w:t>
      </w:r>
      <w:r w:rsidRPr="006A40A7">
        <w:rPr>
          <w:rFonts w:eastAsia="Calibri" w:cs="Arial"/>
          <w:bCs/>
          <w:szCs w:val="22"/>
          <w:lang w:val="en-AU" w:bidi="ar-SA"/>
        </w:rPr>
        <w:t xml:space="preserve">sourced from </w:t>
      </w:r>
      <w:r>
        <w:rPr>
          <w:rFonts w:eastAsia="Calibri" w:cs="Arial"/>
          <w:bCs/>
          <w:i/>
          <w:szCs w:val="22"/>
          <w:lang w:val="en-AU" w:bidi="ar-SA"/>
        </w:rPr>
        <w:t>Bacillus subtilis</w:t>
      </w:r>
      <w:r w:rsidRPr="006A40A7">
        <w:rPr>
          <w:rFonts w:eastAsia="Calibri" w:cs="Arial"/>
          <w:bCs/>
          <w:szCs w:val="22"/>
          <w:lang w:val="en-AU" w:bidi="ar-SA"/>
        </w:rPr>
        <w:t xml:space="preserve"> containing the </w:t>
      </w:r>
      <w:r>
        <w:rPr>
          <w:rFonts w:eastAsia="Calibri" w:cs="Arial"/>
          <w:bCs/>
          <w:szCs w:val="22"/>
          <w:lang w:val="en-AU" w:bidi="ar-SA"/>
        </w:rPr>
        <w:t>alpha-amylase</w:t>
      </w:r>
      <w:r w:rsidRPr="006A40A7">
        <w:rPr>
          <w:rFonts w:eastAsia="Calibri" w:cs="Arial"/>
          <w:bCs/>
          <w:szCs w:val="22"/>
          <w:lang w:val="en-AU" w:bidi="ar-SA"/>
        </w:rPr>
        <w:t xml:space="preserve"> gene from </w:t>
      </w:r>
      <w:proofErr w:type="spellStart"/>
      <w:r>
        <w:rPr>
          <w:i/>
          <w:lang w:bidi="ar-SA"/>
        </w:rPr>
        <w:t>Thermoactinomyces</w:t>
      </w:r>
      <w:proofErr w:type="spellEnd"/>
      <w:r>
        <w:rPr>
          <w:i/>
          <w:lang w:bidi="ar-SA"/>
        </w:rPr>
        <w:t xml:space="preserve"> vulgaris</w:t>
      </w:r>
      <w:r>
        <w:rPr>
          <w:lang w:bidi="ar-SA"/>
        </w:rPr>
        <w:t xml:space="preserve"> </w:t>
      </w:r>
      <w:r>
        <w:rPr>
          <w:rFonts w:eastAsia="Calibri" w:cs="Arial"/>
          <w:bCs/>
          <w:szCs w:val="22"/>
          <w:lang w:val="en-AU" w:bidi="ar-SA"/>
        </w:rPr>
        <w:t>as a processing aid in accordance with the Code.</w:t>
      </w:r>
    </w:p>
    <w:sectPr w:rsidR="007C174F" w:rsidRPr="00A66333"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59A" w14:textId="77777777" w:rsidR="002649D1" w:rsidRDefault="002649D1">
      <w:r>
        <w:separator/>
      </w:r>
    </w:p>
  </w:endnote>
  <w:endnote w:type="continuationSeparator" w:id="0">
    <w:p w14:paraId="7F805817" w14:textId="77777777" w:rsidR="002649D1" w:rsidRDefault="002649D1">
      <w:r>
        <w:continuationSeparator/>
      </w:r>
    </w:p>
  </w:endnote>
  <w:endnote w:type="continuationNotice" w:id="1">
    <w:p w14:paraId="65E74024" w14:textId="77777777" w:rsidR="002649D1" w:rsidRDefault="002649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154D" w14:textId="77777777" w:rsidR="009375B9" w:rsidRPr="009375B9" w:rsidRDefault="009375B9" w:rsidP="009375B9">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68BC632" w14:textId="123003EA" w:rsidR="009539A7" w:rsidRDefault="009375B9" w:rsidP="009375B9">
    <w:pPr>
      <w:pStyle w:val="Footer"/>
      <w:framePr w:wrap="around" w:vAnchor="text" w:hAnchor="margin" w:xAlign="center" w:y="1"/>
      <w:jc w:val="center"/>
      <w:rPr>
        <w:rStyle w:val="PageNumber"/>
      </w:rPr>
    </w:pPr>
    <w:r w:rsidRPr="009375B9">
      <w:rPr>
        <w:rStyle w:val="PageNumber"/>
        <w:rFonts w:ascii="Calibri" w:hAnsi="Calibri" w:cs="Calibri"/>
        <w:b/>
        <w:color w:val="F00000"/>
        <w:sz w:val="24"/>
      </w:rPr>
      <w:t>OFFICIAL</w:t>
    </w:r>
    <w:r>
      <w:rPr>
        <w:rStyle w:val="PageNumber"/>
      </w:rPr>
      <w:t xml:space="preserve"> </w:t>
    </w:r>
    <w:r>
      <w:rPr>
        <w:rStyle w:val="PageNumber"/>
      </w:rPr>
      <w:fldChar w:fldCharType="end"/>
    </w:r>
    <w:r w:rsidR="009539A7">
      <w:rPr>
        <w:rStyle w:val="PageNumber"/>
      </w:rPr>
      <w:fldChar w:fldCharType="begin"/>
    </w:r>
    <w:r w:rsidR="009539A7">
      <w:rPr>
        <w:rStyle w:val="PageNumber"/>
      </w:rPr>
      <w:instrText xml:space="preserve">PAGE  </w:instrText>
    </w:r>
    <w:r w:rsidR="009539A7">
      <w:rPr>
        <w:rStyle w:val="PageNumber"/>
      </w:rPr>
      <w:fldChar w:fldCharType="end"/>
    </w:r>
  </w:p>
  <w:p w14:paraId="6B3F6B04" w14:textId="77777777" w:rsidR="009539A7" w:rsidRDefault="009539A7" w:rsidP="00937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C242" w14:textId="77777777" w:rsidR="009375B9" w:rsidRPr="009375B9" w:rsidRDefault="009375B9" w:rsidP="009375B9">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7986569F" w14:textId="3D661EF5" w:rsidR="009375B9" w:rsidRDefault="009375B9" w:rsidP="00801521">
    <w:pPr>
      <w:pStyle w:val="Footer"/>
      <w:framePr w:wrap="around" w:vAnchor="text" w:hAnchor="margin" w:xAlign="center" w:y="1"/>
      <w:rPr>
        <w:rStyle w:val="PageNumber"/>
      </w:rPr>
    </w:pPr>
    <w:r>
      <w:rPr>
        <w:rStyle w:val="PageNumber"/>
      </w:rPr>
      <w:t xml:space="preserve"> </w:t>
    </w:r>
    <w:r>
      <w:rPr>
        <w:rStyle w:val="PageNumber"/>
      </w:rPr>
      <w:fldChar w:fldCharType="end"/>
    </w:r>
  </w:p>
  <w:p w14:paraId="38BC0EC3" w14:textId="1B82871E" w:rsidR="009539A7" w:rsidRDefault="009539A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3E9">
      <w:rPr>
        <w:rStyle w:val="PageNumber"/>
        <w:noProof/>
      </w:rPr>
      <w:t>5</w:t>
    </w:r>
    <w:r>
      <w:rPr>
        <w:rStyle w:val="PageNumber"/>
      </w:rPr>
      <w:fldChar w:fldCharType="end"/>
    </w:r>
  </w:p>
  <w:p w14:paraId="218F2D2D" w14:textId="77777777" w:rsidR="009539A7" w:rsidRDefault="009539A7" w:rsidP="009375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3E22" w14:textId="77777777" w:rsidR="009375B9" w:rsidRPr="009375B9" w:rsidRDefault="009375B9" w:rsidP="009375B9">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4E8BD12" w14:textId="5E906562" w:rsidR="009539A7" w:rsidRPr="009375B9" w:rsidRDefault="009375B9" w:rsidP="009375B9">
    <w:pPr>
      <w:pStyle w:val="Footer"/>
      <w:jc w:val="center"/>
    </w:pPr>
    <w:r w:rsidRPr="009375B9">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CA34" w14:textId="77777777" w:rsidR="002649D1" w:rsidRDefault="002649D1">
      <w:r>
        <w:separator/>
      </w:r>
    </w:p>
  </w:footnote>
  <w:footnote w:type="continuationSeparator" w:id="0">
    <w:p w14:paraId="4C789FEE" w14:textId="77777777" w:rsidR="002649D1" w:rsidRDefault="002649D1">
      <w:r>
        <w:continuationSeparator/>
      </w:r>
    </w:p>
  </w:footnote>
  <w:footnote w:type="continuationNotice" w:id="1">
    <w:p w14:paraId="6AEC09AC" w14:textId="77777777" w:rsidR="002649D1" w:rsidRDefault="002649D1">
      <w:pPr>
        <w:spacing w:before="0" w:after="0"/>
      </w:pPr>
    </w:p>
  </w:footnote>
  <w:footnote w:id="2">
    <w:p w14:paraId="61E9A39A" w14:textId="77777777" w:rsidR="00CD3964" w:rsidRPr="00834C74" w:rsidRDefault="00CD3964" w:rsidP="00CD3964">
      <w:pPr>
        <w:pStyle w:val="FootnoteText"/>
        <w:rPr>
          <w:sz w:val="18"/>
          <w:szCs w:val="18"/>
        </w:rPr>
      </w:pPr>
      <w:r>
        <w:rPr>
          <w:rStyle w:val="FootnoteReference"/>
        </w:rPr>
        <w:footnoteRef/>
      </w:r>
      <w:r>
        <w:t xml:space="preserve"> </w:t>
      </w:r>
      <w:bookmarkStart w:id="26" w:name="_Hlk112226842"/>
      <w:r w:rsidRPr="00834C74">
        <w:rPr>
          <w:sz w:val="18"/>
          <w:szCs w:val="18"/>
        </w:rPr>
        <w:t xml:space="preserve">Section 1.5.2—4(5) defines </w:t>
      </w:r>
      <w:r w:rsidRPr="00834C74">
        <w:rPr>
          <w:b/>
          <w:i/>
          <w:sz w:val="18"/>
          <w:szCs w:val="18"/>
        </w:rPr>
        <w:t>genetically modified food</w:t>
      </w:r>
      <w:r w:rsidRPr="00834C74">
        <w:rPr>
          <w:sz w:val="18"/>
          <w:szCs w:val="18"/>
        </w:rPr>
        <w:t xml:space="preserve"> to mean a </w:t>
      </w:r>
      <w:r>
        <w:rPr>
          <w:sz w:val="18"/>
          <w:szCs w:val="18"/>
        </w:rPr>
        <w:t>‘</w:t>
      </w:r>
      <w:r w:rsidRPr="00834C74">
        <w:rPr>
          <w:sz w:val="18"/>
          <w:szCs w:val="18"/>
        </w:rPr>
        <w:t xml:space="preserve">*food produced using gene technology that </w:t>
      </w:r>
    </w:p>
    <w:p w14:paraId="5B3644DA" w14:textId="77777777" w:rsidR="00CD3964" w:rsidRPr="00834C74" w:rsidRDefault="00CD3964" w:rsidP="00CD3964">
      <w:pPr>
        <w:pStyle w:val="FootnoteText"/>
        <w:widowControl w:val="0"/>
        <w:numPr>
          <w:ilvl w:val="0"/>
          <w:numId w:val="16"/>
        </w:numPr>
        <w:spacing w:before="0" w:after="0"/>
        <w:rPr>
          <w:sz w:val="18"/>
          <w:szCs w:val="18"/>
        </w:rPr>
      </w:pPr>
      <w:r w:rsidRPr="00834C74">
        <w:rPr>
          <w:sz w:val="18"/>
          <w:szCs w:val="18"/>
        </w:rPr>
        <w:t>contains novel DNA or novel protein; or</w:t>
      </w:r>
    </w:p>
    <w:p w14:paraId="292FDCE5" w14:textId="61BACAE9" w:rsidR="00CD3964" w:rsidRPr="007F1CF9" w:rsidRDefault="00CD3964" w:rsidP="00037D36">
      <w:pPr>
        <w:pStyle w:val="FootnoteText"/>
        <w:widowControl w:val="0"/>
        <w:numPr>
          <w:ilvl w:val="0"/>
          <w:numId w:val="16"/>
        </w:numPr>
        <w:spacing w:before="0" w:after="0"/>
        <w:rPr>
          <w:lang w:val="en-AU"/>
        </w:rPr>
      </w:pPr>
      <w:r w:rsidRPr="007F1CF9">
        <w:rPr>
          <w:iCs/>
          <w:sz w:val="18"/>
          <w:szCs w:val="18"/>
        </w:rPr>
        <w:t>is listed in Section S26—3 as subject to the condition that its labelling must comply with this section’ (</w:t>
      </w:r>
      <w:r w:rsidRPr="007F1CF9">
        <w:rPr>
          <w:i/>
          <w:iCs/>
          <w:sz w:val="18"/>
          <w:szCs w:val="18"/>
        </w:rPr>
        <w:t>that being section 1.5.2—4</w:t>
      </w:r>
      <w:r w:rsidRPr="007F1CF9">
        <w:rPr>
          <w:iCs/>
          <w:sz w:val="18"/>
          <w:szCs w:val="18"/>
        </w:rPr>
        <w:t>).</w:t>
      </w:r>
      <w:bookmarkEnd w:id="26"/>
    </w:p>
  </w:footnote>
  <w:footnote w:id="3">
    <w:p w14:paraId="465CD0B7" w14:textId="77777777" w:rsidR="009539A7" w:rsidRDefault="009539A7" w:rsidP="008A27A0">
      <w:pPr>
        <w:pStyle w:val="FootnoteText"/>
        <w:rPr>
          <w:lang w:val="en-AU"/>
        </w:rPr>
      </w:pPr>
      <w:r>
        <w:rPr>
          <w:rStyle w:val="FootnoteReference"/>
        </w:rPr>
        <w:footnoteRef/>
      </w:r>
      <w:r>
        <w:t xml:space="preserve"> </w:t>
      </w:r>
      <w:r>
        <w:rPr>
          <w:sz w:val="18"/>
          <w:szCs w:val="18"/>
        </w:rPr>
        <w:t>Food produced using gene technology’ is defined in subsection 1.1.2—2(3) as meaning ‘a food which has been derived or developed from an organism which has been modified by gene technology’</w:t>
      </w:r>
      <w:r>
        <w:t>.</w:t>
      </w:r>
    </w:p>
  </w:footnote>
  <w:footnote w:id="4">
    <w:p w14:paraId="2A16F89C" w14:textId="26FD15F6" w:rsidR="009539A7" w:rsidRDefault="009539A7" w:rsidP="004132BC">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9B4" w14:textId="77777777" w:rsidR="009375B9" w:rsidRPr="009375B9" w:rsidRDefault="009375B9" w:rsidP="009375B9">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9375B9">
      <w:rPr>
        <w:rFonts w:ascii="Calibri" w:hAnsi="Calibri" w:cs="Calibri"/>
        <w:b/>
        <w:color w:val="F00000"/>
        <w:sz w:val="24"/>
      </w:rPr>
      <w:t>OFFICIAL</w:t>
    </w:r>
  </w:p>
  <w:p w14:paraId="08E742EE" w14:textId="6338D93E" w:rsidR="009539A7" w:rsidRPr="009375B9" w:rsidRDefault="009375B9" w:rsidP="009375B9">
    <w:pPr>
      <w:pStyle w:val="Header"/>
      <w:jc w:val="center"/>
    </w:pPr>
    <w:r w:rsidRPr="009375B9">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362E" w14:textId="1C291096" w:rsidR="009375B9" w:rsidRPr="009375B9" w:rsidRDefault="009375B9" w:rsidP="009375B9">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77A305ED" w14:textId="0ED32974" w:rsidR="009539A7" w:rsidRPr="009375B9" w:rsidRDefault="009375B9" w:rsidP="009375B9">
    <w:pPr>
      <w:pStyle w:val="Header"/>
      <w:jc w:val="center"/>
    </w:pPr>
    <w:r w:rsidRPr="009375B9">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9536" w14:textId="77777777" w:rsidR="009375B9" w:rsidRPr="009375B9" w:rsidRDefault="009375B9" w:rsidP="009375B9">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9375B9">
      <w:rPr>
        <w:rFonts w:ascii="Calibri" w:hAnsi="Calibri" w:cs="Calibri"/>
        <w:b/>
        <w:bCs/>
        <w:color w:val="F00000"/>
        <w:sz w:val="24"/>
      </w:rPr>
      <w:t>OFFICIAL</w:t>
    </w:r>
  </w:p>
  <w:p w14:paraId="2E939A6B" w14:textId="12EDFB88" w:rsidR="009375B9" w:rsidRDefault="009375B9" w:rsidP="009375B9">
    <w:pPr>
      <w:pStyle w:val="Header"/>
      <w:jc w:val="center"/>
      <w:rPr>
        <w:b/>
        <w:bCs/>
      </w:rPr>
    </w:pPr>
    <w:r w:rsidRPr="009375B9">
      <w:rPr>
        <w:rFonts w:ascii="Calibri" w:hAnsi="Calibri" w:cs="Calibri"/>
        <w:b/>
        <w:bCs/>
        <w:color w:val="F00000"/>
        <w:sz w:val="24"/>
      </w:rPr>
      <w:t xml:space="preserve"> </w:t>
    </w:r>
    <w:r>
      <w:rPr>
        <w:b/>
        <w:bCs/>
      </w:rPr>
      <w:fldChar w:fldCharType="end"/>
    </w:r>
  </w:p>
  <w:p w14:paraId="6A0500E4" w14:textId="65A2B8AC" w:rsidR="009539A7" w:rsidRDefault="009539A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80154"/>
    <w:multiLevelType w:val="multilevel"/>
    <w:tmpl w:val="494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2F86C7C"/>
    <w:multiLevelType w:val="multilevel"/>
    <w:tmpl w:val="56B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2733125">
    <w:abstractNumId w:val="1"/>
  </w:num>
  <w:num w:numId="2" w16cid:durableId="371996925">
    <w:abstractNumId w:val="11"/>
  </w:num>
  <w:num w:numId="3" w16cid:durableId="371540410">
    <w:abstractNumId w:val="0"/>
  </w:num>
  <w:num w:numId="4" w16cid:durableId="666906251">
    <w:abstractNumId w:val="12"/>
  </w:num>
  <w:num w:numId="5" w16cid:durableId="2046810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121187">
    <w:abstractNumId w:val="3"/>
  </w:num>
  <w:num w:numId="7" w16cid:durableId="1661424267">
    <w:abstractNumId w:val="13"/>
  </w:num>
  <w:num w:numId="8" w16cid:durableId="1665426908">
    <w:abstractNumId w:val="10"/>
  </w:num>
  <w:num w:numId="9" w16cid:durableId="1712071045">
    <w:abstractNumId w:val="5"/>
  </w:num>
  <w:num w:numId="10" w16cid:durableId="101192074">
    <w:abstractNumId w:val="14"/>
  </w:num>
  <w:num w:numId="11" w16cid:durableId="1176842753">
    <w:abstractNumId w:val="6"/>
  </w:num>
  <w:num w:numId="12" w16cid:durableId="1273321117">
    <w:abstractNumId w:val="9"/>
  </w:num>
  <w:num w:numId="13" w16cid:durableId="537553532">
    <w:abstractNumId w:val="11"/>
  </w:num>
  <w:num w:numId="14" w16cid:durableId="827869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98212">
    <w:abstractNumId w:val="7"/>
  </w:num>
  <w:num w:numId="16" w16cid:durableId="549921170">
    <w:abstractNumId w:val="2"/>
  </w:num>
  <w:num w:numId="17" w16cid:durableId="11767723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49"/>
    <w:rsid w:val="00001CF2"/>
    <w:rsid w:val="0000247B"/>
    <w:rsid w:val="00003E8A"/>
    <w:rsid w:val="00004274"/>
    <w:rsid w:val="000044E3"/>
    <w:rsid w:val="0000469B"/>
    <w:rsid w:val="00016CB6"/>
    <w:rsid w:val="00022DBC"/>
    <w:rsid w:val="00024DAE"/>
    <w:rsid w:val="0003136F"/>
    <w:rsid w:val="00034F87"/>
    <w:rsid w:val="000350AB"/>
    <w:rsid w:val="00035FF3"/>
    <w:rsid w:val="00037D36"/>
    <w:rsid w:val="000400F1"/>
    <w:rsid w:val="000427B2"/>
    <w:rsid w:val="000469C4"/>
    <w:rsid w:val="00051021"/>
    <w:rsid w:val="00051ED9"/>
    <w:rsid w:val="000564DE"/>
    <w:rsid w:val="00056AA0"/>
    <w:rsid w:val="00057181"/>
    <w:rsid w:val="00064B2D"/>
    <w:rsid w:val="000653B8"/>
    <w:rsid w:val="00065F1F"/>
    <w:rsid w:val="000735FD"/>
    <w:rsid w:val="0007466A"/>
    <w:rsid w:val="00076D33"/>
    <w:rsid w:val="000778D6"/>
    <w:rsid w:val="000807ED"/>
    <w:rsid w:val="000877DD"/>
    <w:rsid w:val="00091CC2"/>
    <w:rsid w:val="000A27E9"/>
    <w:rsid w:val="000A3D8B"/>
    <w:rsid w:val="000A3D8E"/>
    <w:rsid w:val="000A5919"/>
    <w:rsid w:val="000A5DF8"/>
    <w:rsid w:val="000A7AA0"/>
    <w:rsid w:val="000A7AA5"/>
    <w:rsid w:val="000A7B7F"/>
    <w:rsid w:val="000B6AF2"/>
    <w:rsid w:val="000C412C"/>
    <w:rsid w:val="000D295F"/>
    <w:rsid w:val="000D6FD4"/>
    <w:rsid w:val="000E0AE4"/>
    <w:rsid w:val="000E12AC"/>
    <w:rsid w:val="000E3DBC"/>
    <w:rsid w:val="000F30D0"/>
    <w:rsid w:val="0010287F"/>
    <w:rsid w:val="00113CE3"/>
    <w:rsid w:val="00117522"/>
    <w:rsid w:val="00130FAD"/>
    <w:rsid w:val="001340EB"/>
    <w:rsid w:val="0014095D"/>
    <w:rsid w:val="00141F8A"/>
    <w:rsid w:val="00144B46"/>
    <w:rsid w:val="00145F00"/>
    <w:rsid w:val="001468FE"/>
    <w:rsid w:val="00151550"/>
    <w:rsid w:val="001542D8"/>
    <w:rsid w:val="00156420"/>
    <w:rsid w:val="00156885"/>
    <w:rsid w:val="001621D4"/>
    <w:rsid w:val="001702FF"/>
    <w:rsid w:val="0017126C"/>
    <w:rsid w:val="00177B26"/>
    <w:rsid w:val="00180C41"/>
    <w:rsid w:val="00182C4C"/>
    <w:rsid w:val="00185B63"/>
    <w:rsid w:val="00186BD1"/>
    <w:rsid w:val="00193AED"/>
    <w:rsid w:val="00195254"/>
    <w:rsid w:val="00197D8D"/>
    <w:rsid w:val="001A1A75"/>
    <w:rsid w:val="001A460E"/>
    <w:rsid w:val="001A7E9A"/>
    <w:rsid w:val="001B2E9F"/>
    <w:rsid w:val="001B4E55"/>
    <w:rsid w:val="001B7CE4"/>
    <w:rsid w:val="001C27A3"/>
    <w:rsid w:val="001C282C"/>
    <w:rsid w:val="001C2A65"/>
    <w:rsid w:val="001C3D2F"/>
    <w:rsid w:val="001C5295"/>
    <w:rsid w:val="001C713F"/>
    <w:rsid w:val="001D2718"/>
    <w:rsid w:val="001D3F84"/>
    <w:rsid w:val="001D6857"/>
    <w:rsid w:val="001E09FA"/>
    <w:rsid w:val="001E7B7F"/>
    <w:rsid w:val="001F5B9C"/>
    <w:rsid w:val="001F6652"/>
    <w:rsid w:val="001F719F"/>
    <w:rsid w:val="001F74B2"/>
    <w:rsid w:val="00203540"/>
    <w:rsid w:val="00203E1A"/>
    <w:rsid w:val="00221D07"/>
    <w:rsid w:val="00227E4A"/>
    <w:rsid w:val="00230A5D"/>
    <w:rsid w:val="002432EE"/>
    <w:rsid w:val="0024582E"/>
    <w:rsid w:val="002547EF"/>
    <w:rsid w:val="00256D65"/>
    <w:rsid w:val="00263B97"/>
    <w:rsid w:val="002649D1"/>
    <w:rsid w:val="00266B81"/>
    <w:rsid w:val="00271F00"/>
    <w:rsid w:val="00273A80"/>
    <w:rsid w:val="0027513D"/>
    <w:rsid w:val="00276026"/>
    <w:rsid w:val="002851C8"/>
    <w:rsid w:val="00286DE4"/>
    <w:rsid w:val="002918C9"/>
    <w:rsid w:val="0029204E"/>
    <w:rsid w:val="002921DF"/>
    <w:rsid w:val="00294BAD"/>
    <w:rsid w:val="0029631C"/>
    <w:rsid w:val="002A0194"/>
    <w:rsid w:val="002A14D6"/>
    <w:rsid w:val="002A5F8B"/>
    <w:rsid w:val="002A7F6C"/>
    <w:rsid w:val="002B0D8E"/>
    <w:rsid w:val="002B7B5A"/>
    <w:rsid w:val="002C2E18"/>
    <w:rsid w:val="002C4A91"/>
    <w:rsid w:val="002C4CED"/>
    <w:rsid w:val="002C6A66"/>
    <w:rsid w:val="002D6809"/>
    <w:rsid w:val="002E086A"/>
    <w:rsid w:val="002F56C6"/>
    <w:rsid w:val="002F6488"/>
    <w:rsid w:val="0030279C"/>
    <w:rsid w:val="00310E84"/>
    <w:rsid w:val="00313C16"/>
    <w:rsid w:val="00313D49"/>
    <w:rsid w:val="003140A4"/>
    <w:rsid w:val="00315A71"/>
    <w:rsid w:val="003213F9"/>
    <w:rsid w:val="00323ABB"/>
    <w:rsid w:val="00323DBF"/>
    <w:rsid w:val="003309A8"/>
    <w:rsid w:val="00332B12"/>
    <w:rsid w:val="00334396"/>
    <w:rsid w:val="0033470E"/>
    <w:rsid w:val="00336711"/>
    <w:rsid w:val="0034044B"/>
    <w:rsid w:val="00347935"/>
    <w:rsid w:val="00350DBD"/>
    <w:rsid w:val="00351927"/>
    <w:rsid w:val="00351B07"/>
    <w:rsid w:val="00357641"/>
    <w:rsid w:val="0036268A"/>
    <w:rsid w:val="00364841"/>
    <w:rsid w:val="003703B7"/>
    <w:rsid w:val="00370445"/>
    <w:rsid w:val="00371B29"/>
    <w:rsid w:val="00372182"/>
    <w:rsid w:val="0037520F"/>
    <w:rsid w:val="003765E4"/>
    <w:rsid w:val="003814A9"/>
    <w:rsid w:val="00384CC2"/>
    <w:rsid w:val="00390DC4"/>
    <w:rsid w:val="00391769"/>
    <w:rsid w:val="003953E1"/>
    <w:rsid w:val="003956B3"/>
    <w:rsid w:val="00396B03"/>
    <w:rsid w:val="003A68BE"/>
    <w:rsid w:val="003A7725"/>
    <w:rsid w:val="003B3C9D"/>
    <w:rsid w:val="003B78E0"/>
    <w:rsid w:val="003C4969"/>
    <w:rsid w:val="003E1878"/>
    <w:rsid w:val="003E1FC0"/>
    <w:rsid w:val="003E41D5"/>
    <w:rsid w:val="003E46BA"/>
    <w:rsid w:val="003E5F2C"/>
    <w:rsid w:val="003E66B6"/>
    <w:rsid w:val="003E7D22"/>
    <w:rsid w:val="003F74C1"/>
    <w:rsid w:val="00401D8C"/>
    <w:rsid w:val="00405B1A"/>
    <w:rsid w:val="00406556"/>
    <w:rsid w:val="00407241"/>
    <w:rsid w:val="0040761E"/>
    <w:rsid w:val="00407DF4"/>
    <w:rsid w:val="00410C76"/>
    <w:rsid w:val="00411907"/>
    <w:rsid w:val="004132BC"/>
    <w:rsid w:val="00413CA8"/>
    <w:rsid w:val="00417EE3"/>
    <w:rsid w:val="004207EB"/>
    <w:rsid w:val="00433D61"/>
    <w:rsid w:val="00435FA5"/>
    <w:rsid w:val="00436B8D"/>
    <w:rsid w:val="00437276"/>
    <w:rsid w:val="00443DBC"/>
    <w:rsid w:val="00447E67"/>
    <w:rsid w:val="00453CA0"/>
    <w:rsid w:val="004547D5"/>
    <w:rsid w:val="0045556F"/>
    <w:rsid w:val="00456B54"/>
    <w:rsid w:val="00464643"/>
    <w:rsid w:val="004646F8"/>
    <w:rsid w:val="004848E2"/>
    <w:rsid w:val="00486793"/>
    <w:rsid w:val="0048758C"/>
    <w:rsid w:val="00490006"/>
    <w:rsid w:val="00494FB7"/>
    <w:rsid w:val="0049729B"/>
    <w:rsid w:val="004A13AD"/>
    <w:rsid w:val="004A2037"/>
    <w:rsid w:val="004A3685"/>
    <w:rsid w:val="004A423A"/>
    <w:rsid w:val="004B0350"/>
    <w:rsid w:val="004B3BE5"/>
    <w:rsid w:val="004B4490"/>
    <w:rsid w:val="004C270A"/>
    <w:rsid w:val="004C2CE7"/>
    <w:rsid w:val="004C2ECC"/>
    <w:rsid w:val="004D30A6"/>
    <w:rsid w:val="004D6BBF"/>
    <w:rsid w:val="004D704F"/>
    <w:rsid w:val="004E3AAD"/>
    <w:rsid w:val="004E3FE2"/>
    <w:rsid w:val="004E4C48"/>
    <w:rsid w:val="004F4F98"/>
    <w:rsid w:val="004F69F6"/>
    <w:rsid w:val="004F79AC"/>
    <w:rsid w:val="005017CF"/>
    <w:rsid w:val="00503D27"/>
    <w:rsid w:val="00512290"/>
    <w:rsid w:val="0051383F"/>
    <w:rsid w:val="005207D8"/>
    <w:rsid w:val="00521F70"/>
    <w:rsid w:val="0052649E"/>
    <w:rsid w:val="00526B53"/>
    <w:rsid w:val="0053464E"/>
    <w:rsid w:val="005358B0"/>
    <w:rsid w:val="00553969"/>
    <w:rsid w:val="00562917"/>
    <w:rsid w:val="0057090F"/>
    <w:rsid w:val="0057654C"/>
    <w:rsid w:val="00586228"/>
    <w:rsid w:val="0059227F"/>
    <w:rsid w:val="0059498B"/>
    <w:rsid w:val="005A0928"/>
    <w:rsid w:val="005A189D"/>
    <w:rsid w:val="005A3A03"/>
    <w:rsid w:val="005A71E6"/>
    <w:rsid w:val="005B00D9"/>
    <w:rsid w:val="005B01E7"/>
    <w:rsid w:val="005B615C"/>
    <w:rsid w:val="005B6AF4"/>
    <w:rsid w:val="005B750E"/>
    <w:rsid w:val="005C04CB"/>
    <w:rsid w:val="005C30F7"/>
    <w:rsid w:val="005C49C3"/>
    <w:rsid w:val="005C6721"/>
    <w:rsid w:val="005C71BA"/>
    <w:rsid w:val="005D16AD"/>
    <w:rsid w:val="005D72E1"/>
    <w:rsid w:val="005E19F5"/>
    <w:rsid w:val="005E2F53"/>
    <w:rsid w:val="005E3E6C"/>
    <w:rsid w:val="005E5186"/>
    <w:rsid w:val="005E60E5"/>
    <w:rsid w:val="005E6E16"/>
    <w:rsid w:val="005E743D"/>
    <w:rsid w:val="005F0743"/>
    <w:rsid w:val="005F400E"/>
    <w:rsid w:val="005F7342"/>
    <w:rsid w:val="00603A08"/>
    <w:rsid w:val="006066BC"/>
    <w:rsid w:val="00606C88"/>
    <w:rsid w:val="00610A3C"/>
    <w:rsid w:val="006129D7"/>
    <w:rsid w:val="006156A8"/>
    <w:rsid w:val="006211CD"/>
    <w:rsid w:val="00623A0A"/>
    <w:rsid w:val="00623BD5"/>
    <w:rsid w:val="00627F48"/>
    <w:rsid w:val="00633ACA"/>
    <w:rsid w:val="006342E0"/>
    <w:rsid w:val="00642A47"/>
    <w:rsid w:val="006440F6"/>
    <w:rsid w:val="00646FDD"/>
    <w:rsid w:val="006479B8"/>
    <w:rsid w:val="00653794"/>
    <w:rsid w:val="00663FCF"/>
    <w:rsid w:val="006652A2"/>
    <w:rsid w:val="006710F8"/>
    <w:rsid w:val="00675231"/>
    <w:rsid w:val="00681754"/>
    <w:rsid w:val="00681D53"/>
    <w:rsid w:val="00683E69"/>
    <w:rsid w:val="00685269"/>
    <w:rsid w:val="006872F2"/>
    <w:rsid w:val="006937FF"/>
    <w:rsid w:val="00694D70"/>
    <w:rsid w:val="006965BF"/>
    <w:rsid w:val="006A0E6B"/>
    <w:rsid w:val="006A48A7"/>
    <w:rsid w:val="006B4BA1"/>
    <w:rsid w:val="006C28E2"/>
    <w:rsid w:val="006C5CF5"/>
    <w:rsid w:val="006E527D"/>
    <w:rsid w:val="006E7C53"/>
    <w:rsid w:val="006F17A0"/>
    <w:rsid w:val="006F1872"/>
    <w:rsid w:val="006F4A82"/>
    <w:rsid w:val="00700239"/>
    <w:rsid w:val="0070373B"/>
    <w:rsid w:val="00704C61"/>
    <w:rsid w:val="00707A70"/>
    <w:rsid w:val="00707E72"/>
    <w:rsid w:val="007113EB"/>
    <w:rsid w:val="0072150F"/>
    <w:rsid w:val="00724FA4"/>
    <w:rsid w:val="00726C2F"/>
    <w:rsid w:val="00730800"/>
    <w:rsid w:val="00735329"/>
    <w:rsid w:val="007368AB"/>
    <w:rsid w:val="00736CEF"/>
    <w:rsid w:val="00737902"/>
    <w:rsid w:val="00741EFE"/>
    <w:rsid w:val="00752159"/>
    <w:rsid w:val="007602AA"/>
    <w:rsid w:val="00760317"/>
    <w:rsid w:val="007634DB"/>
    <w:rsid w:val="00764D33"/>
    <w:rsid w:val="0076519A"/>
    <w:rsid w:val="007652EF"/>
    <w:rsid w:val="00772BDC"/>
    <w:rsid w:val="00773033"/>
    <w:rsid w:val="00780792"/>
    <w:rsid w:val="00783828"/>
    <w:rsid w:val="007A22F5"/>
    <w:rsid w:val="007A44B4"/>
    <w:rsid w:val="007A7D3D"/>
    <w:rsid w:val="007B225D"/>
    <w:rsid w:val="007C174F"/>
    <w:rsid w:val="007C1C64"/>
    <w:rsid w:val="007D40A1"/>
    <w:rsid w:val="007E48BC"/>
    <w:rsid w:val="007E79F7"/>
    <w:rsid w:val="007F13E9"/>
    <w:rsid w:val="007F1CF9"/>
    <w:rsid w:val="007F3630"/>
    <w:rsid w:val="00801521"/>
    <w:rsid w:val="00807559"/>
    <w:rsid w:val="00820535"/>
    <w:rsid w:val="008259D7"/>
    <w:rsid w:val="00835316"/>
    <w:rsid w:val="008450BC"/>
    <w:rsid w:val="00851A60"/>
    <w:rsid w:val="0085334B"/>
    <w:rsid w:val="00857459"/>
    <w:rsid w:val="008639EA"/>
    <w:rsid w:val="00867B23"/>
    <w:rsid w:val="00867C68"/>
    <w:rsid w:val="00870214"/>
    <w:rsid w:val="008714FB"/>
    <w:rsid w:val="00876515"/>
    <w:rsid w:val="008828D9"/>
    <w:rsid w:val="00885C51"/>
    <w:rsid w:val="00885EB0"/>
    <w:rsid w:val="0089264A"/>
    <w:rsid w:val="00896B85"/>
    <w:rsid w:val="00897554"/>
    <w:rsid w:val="008A081C"/>
    <w:rsid w:val="008A22BE"/>
    <w:rsid w:val="008A27A0"/>
    <w:rsid w:val="008A3221"/>
    <w:rsid w:val="008A35FB"/>
    <w:rsid w:val="008B0075"/>
    <w:rsid w:val="008B5567"/>
    <w:rsid w:val="008B6453"/>
    <w:rsid w:val="008B6837"/>
    <w:rsid w:val="008C0E7A"/>
    <w:rsid w:val="008C1B36"/>
    <w:rsid w:val="008D0003"/>
    <w:rsid w:val="008D06C6"/>
    <w:rsid w:val="008E28DB"/>
    <w:rsid w:val="008E6250"/>
    <w:rsid w:val="008F4A89"/>
    <w:rsid w:val="00901EF6"/>
    <w:rsid w:val="00902AF6"/>
    <w:rsid w:val="0090794F"/>
    <w:rsid w:val="0091205B"/>
    <w:rsid w:val="00913890"/>
    <w:rsid w:val="00914030"/>
    <w:rsid w:val="00915CB3"/>
    <w:rsid w:val="00916C00"/>
    <w:rsid w:val="00920249"/>
    <w:rsid w:val="00924C80"/>
    <w:rsid w:val="00925688"/>
    <w:rsid w:val="009259A4"/>
    <w:rsid w:val="009326F7"/>
    <w:rsid w:val="00932F14"/>
    <w:rsid w:val="009375B9"/>
    <w:rsid w:val="0094247F"/>
    <w:rsid w:val="00942D60"/>
    <w:rsid w:val="00943618"/>
    <w:rsid w:val="00944BA4"/>
    <w:rsid w:val="00950802"/>
    <w:rsid w:val="00951564"/>
    <w:rsid w:val="009539A7"/>
    <w:rsid w:val="00962E07"/>
    <w:rsid w:val="00963632"/>
    <w:rsid w:val="0096523B"/>
    <w:rsid w:val="00966EE3"/>
    <w:rsid w:val="00970050"/>
    <w:rsid w:val="00972D06"/>
    <w:rsid w:val="00974B82"/>
    <w:rsid w:val="00994AB7"/>
    <w:rsid w:val="00995F07"/>
    <w:rsid w:val="009A391C"/>
    <w:rsid w:val="009A4763"/>
    <w:rsid w:val="009A50F2"/>
    <w:rsid w:val="009B187A"/>
    <w:rsid w:val="009C4322"/>
    <w:rsid w:val="009D1133"/>
    <w:rsid w:val="009D790B"/>
    <w:rsid w:val="009E0A61"/>
    <w:rsid w:val="009E15CC"/>
    <w:rsid w:val="009E173A"/>
    <w:rsid w:val="009E3010"/>
    <w:rsid w:val="009E68FB"/>
    <w:rsid w:val="009F007E"/>
    <w:rsid w:val="009F1BCF"/>
    <w:rsid w:val="009F5B2F"/>
    <w:rsid w:val="009F7065"/>
    <w:rsid w:val="00A10867"/>
    <w:rsid w:val="00A12B44"/>
    <w:rsid w:val="00A217D2"/>
    <w:rsid w:val="00A22C0B"/>
    <w:rsid w:val="00A358B9"/>
    <w:rsid w:val="00A40193"/>
    <w:rsid w:val="00A4175D"/>
    <w:rsid w:val="00A41953"/>
    <w:rsid w:val="00A54934"/>
    <w:rsid w:val="00A56DC7"/>
    <w:rsid w:val="00A56E34"/>
    <w:rsid w:val="00A66333"/>
    <w:rsid w:val="00A74FD1"/>
    <w:rsid w:val="00A77C58"/>
    <w:rsid w:val="00A847C2"/>
    <w:rsid w:val="00A84A58"/>
    <w:rsid w:val="00A91DF1"/>
    <w:rsid w:val="00AA3F40"/>
    <w:rsid w:val="00AA58C9"/>
    <w:rsid w:val="00AB0275"/>
    <w:rsid w:val="00AB2202"/>
    <w:rsid w:val="00AC74CB"/>
    <w:rsid w:val="00AD22F9"/>
    <w:rsid w:val="00AD7A3D"/>
    <w:rsid w:val="00AE4E6E"/>
    <w:rsid w:val="00AE766D"/>
    <w:rsid w:val="00AF06FC"/>
    <w:rsid w:val="00AF3391"/>
    <w:rsid w:val="00AF387F"/>
    <w:rsid w:val="00AF602C"/>
    <w:rsid w:val="00B00E7F"/>
    <w:rsid w:val="00B0282E"/>
    <w:rsid w:val="00B0286F"/>
    <w:rsid w:val="00B04A6E"/>
    <w:rsid w:val="00B158FF"/>
    <w:rsid w:val="00B173DA"/>
    <w:rsid w:val="00B21DCC"/>
    <w:rsid w:val="00B25F37"/>
    <w:rsid w:val="00B2763B"/>
    <w:rsid w:val="00B3013A"/>
    <w:rsid w:val="00B37C3B"/>
    <w:rsid w:val="00B402AA"/>
    <w:rsid w:val="00B44422"/>
    <w:rsid w:val="00B46EA0"/>
    <w:rsid w:val="00B51818"/>
    <w:rsid w:val="00B51E03"/>
    <w:rsid w:val="00B56C82"/>
    <w:rsid w:val="00B65710"/>
    <w:rsid w:val="00B71F51"/>
    <w:rsid w:val="00B731D3"/>
    <w:rsid w:val="00B733A1"/>
    <w:rsid w:val="00B819A3"/>
    <w:rsid w:val="00B839A3"/>
    <w:rsid w:val="00B83B7E"/>
    <w:rsid w:val="00B84E70"/>
    <w:rsid w:val="00B853D2"/>
    <w:rsid w:val="00B8705C"/>
    <w:rsid w:val="00B902BD"/>
    <w:rsid w:val="00B9694C"/>
    <w:rsid w:val="00BA0BF5"/>
    <w:rsid w:val="00BA24E2"/>
    <w:rsid w:val="00BA7E58"/>
    <w:rsid w:val="00BB4C89"/>
    <w:rsid w:val="00BB5930"/>
    <w:rsid w:val="00BB73B0"/>
    <w:rsid w:val="00BD2A39"/>
    <w:rsid w:val="00BD2E80"/>
    <w:rsid w:val="00BD6F6F"/>
    <w:rsid w:val="00BE11B8"/>
    <w:rsid w:val="00BE3818"/>
    <w:rsid w:val="00BE5540"/>
    <w:rsid w:val="00BF1057"/>
    <w:rsid w:val="00BF45FA"/>
    <w:rsid w:val="00BF7FF0"/>
    <w:rsid w:val="00C00577"/>
    <w:rsid w:val="00C035EC"/>
    <w:rsid w:val="00C06615"/>
    <w:rsid w:val="00C07477"/>
    <w:rsid w:val="00C12502"/>
    <w:rsid w:val="00C1266C"/>
    <w:rsid w:val="00C14FD2"/>
    <w:rsid w:val="00C32047"/>
    <w:rsid w:val="00C338BD"/>
    <w:rsid w:val="00C36578"/>
    <w:rsid w:val="00C40AA5"/>
    <w:rsid w:val="00C42244"/>
    <w:rsid w:val="00C46F70"/>
    <w:rsid w:val="00C476D0"/>
    <w:rsid w:val="00C53890"/>
    <w:rsid w:val="00C56F71"/>
    <w:rsid w:val="00C63580"/>
    <w:rsid w:val="00C63E8A"/>
    <w:rsid w:val="00C72936"/>
    <w:rsid w:val="00C820AD"/>
    <w:rsid w:val="00C833A0"/>
    <w:rsid w:val="00C836E3"/>
    <w:rsid w:val="00C841B2"/>
    <w:rsid w:val="00C85067"/>
    <w:rsid w:val="00C86577"/>
    <w:rsid w:val="00C92E07"/>
    <w:rsid w:val="00C94280"/>
    <w:rsid w:val="00C94942"/>
    <w:rsid w:val="00C95A55"/>
    <w:rsid w:val="00C96868"/>
    <w:rsid w:val="00C96A50"/>
    <w:rsid w:val="00CA0416"/>
    <w:rsid w:val="00CA3C65"/>
    <w:rsid w:val="00CA7F35"/>
    <w:rsid w:val="00CB1375"/>
    <w:rsid w:val="00CC36E7"/>
    <w:rsid w:val="00CC560B"/>
    <w:rsid w:val="00CC75E2"/>
    <w:rsid w:val="00CC7794"/>
    <w:rsid w:val="00CD2F5C"/>
    <w:rsid w:val="00CD3964"/>
    <w:rsid w:val="00CD46EB"/>
    <w:rsid w:val="00CD7EBF"/>
    <w:rsid w:val="00CE0AEB"/>
    <w:rsid w:val="00CE25C8"/>
    <w:rsid w:val="00CE4FBB"/>
    <w:rsid w:val="00D0377C"/>
    <w:rsid w:val="00D04529"/>
    <w:rsid w:val="00D056F1"/>
    <w:rsid w:val="00D062E4"/>
    <w:rsid w:val="00D11171"/>
    <w:rsid w:val="00D14405"/>
    <w:rsid w:val="00D1492F"/>
    <w:rsid w:val="00D2071E"/>
    <w:rsid w:val="00D209C9"/>
    <w:rsid w:val="00D22F3C"/>
    <w:rsid w:val="00D23DB6"/>
    <w:rsid w:val="00D26814"/>
    <w:rsid w:val="00D3171B"/>
    <w:rsid w:val="00D3390F"/>
    <w:rsid w:val="00D33F56"/>
    <w:rsid w:val="00D43FE6"/>
    <w:rsid w:val="00D44849"/>
    <w:rsid w:val="00D51A95"/>
    <w:rsid w:val="00D60568"/>
    <w:rsid w:val="00D61E70"/>
    <w:rsid w:val="00D676CF"/>
    <w:rsid w:val="00D70C7A"/>
    <w:rsid w:val="00D73931"/>
    <w:rsid w:val="00D81B35"/>
    <w:rsid w:val="00D81D38"/>
    <w:rsid w:val="00D8470F"/>
    <w:rsid w:val="00D8471A"/>
    <w:rsid w:val="00D91BE2"/>
    <w:rsid w:val="00DA10A8"/>
    <w:rsid w:val="00DA321A"/>
    <w:rsid w:val="00DB1E08"/>
    <w:rsid w:val="00DB2973"/>
    <w:rsid w:val="00DB324A"/>
    <w:rsid w:val="00DB4FBB"/>
    <w:rsid w:val="00DB65A3"/>
    <w:rsid w:val="00DB6D5F"/>
    <w:rsid w:val="00DB7A08"/>
    <w:rsid w:val="00DC0E0E"/>
    <w:rsid w:val="00DC1B56"/>
    <w:rsid w:val="00DC2129"/>
    <w:rsid w:val="00DC3C72"/>
    <w:rsid w:val="00DC6570"/>
    <w:rsid w:val="00DC6BD9"/>
    <w:rsid w:val="00DD2515"/>
    <w:rsid w:val="00DD3C5E"/>
    <w:rsid w:val="00DD5BB6"/>
    <w:rsid w:val="00DE79D9"/>
    <w:rsid w:val="00DF25C3"/>
    <w:rsid w:val="00DF736D"/>
    <w:rsid w:val="00E0032C"/>
    <w:rsid w:val="00E02633"/>
    <w:rsid w:val="00E04062"/>
    <w:rsid w:val="00E063C6"/>
    <w:rsid w:val="00E12974"/>
    <w:rsid w:val="00E2003B"/>
    <w:rsid w:val="00E203C2"/>
    <w:rsid w:val="00E24DE8"/>
    <w:rsid w:val="00E279D8"/>
    <w:rsid w:val="00E319B1"/>
    <w:rsid w:val="00E40ED4"/>
    <w:rsid w:val="00E44E0D"/>
    <w:rsid w:val="00E520FE"/>
    <w:rsid w:val="00E5492F"/>
    <w:rsid w:val="00E57337"/>
    <w:rsid w:val="00E62DEF"/>
    <w:rsid w:val="00E70A86"/>
    <w:rsid w:val="00E72650"/>
    <w:rsid w:val="00E75054"/>
    <w:rsid w:val="00E751D6"/>
    <w:rsid w:val="00E76118"/>
    <w:rsid w:val="00E777EC"/>
    <w:rsid w:val="00E80FCD"/>
    <w:rsid w:val="00E81F6E"/>
    <w:rsid w:val="00E940FB"/>
    <w:rsid w:val="00EA7F2F"/>
    <w:rsid w:val="00EC00DE"/>
    <w:rsid w:val="00EC0CFF"/>
    <w:rsid w:val="00EC30E1"/>
    <w:rsid w:val="00EC75B3"/>
    <w:rsid w:val="00ED172A"/>
    <w:rsid w:val="00ED6A28"/>
    <w:rsid w:val="00EE081E"/>
    <w:rsid w:val="00EE0A23"/>
    <w:rsid w:val="00EE32A8"/>
    <w:rsid w:val="00EE5A4D"/>
    <w:rsid w:val="00EF33EE"/>
    <w:rsid w:val="00EF583C"/>
    <w:rsid w:val="00F01CCC"/>
    <w:rsid w:val="00F0750B"/>
    <w:rsid w:val="00F079BE"/>
    <w:rsid w:val="00F119BC"/>
    <w:rsid w:val="00F145F0"/>
    <w:rsid w:val="00F14BEC"/>
    <w:rsid w:val="00F16C92"/>
    <w:rsid w:val="00F217A6"/>
    <w:rsid w:val="00F225C5"/>
    <w:rsid w:val="00F2587A"/>
    <w:rsid w:val="00F33BB8"/>
    <w:rsid w:val="00F353FD"/>
    <w:rsid w:val="00F367E7"/>
    <w:rsid w:val="00F3715D"/>
    <w:rsid w:val="00F41DA5"/>
    <w:rsid w:val="00F420C8"/>
    <w:rsid w:val="00F42937"/>
    <w:rsid w:val="00F42A4C"/>
    <w:rsid w:val="00F50764"/>
    <w:rsid w:val="00F53B04"/>
    <w:rsid w:val="00F604DE"/>
    <w:rsid w:val="00F613F0"/>
    <w:rsid w:val="00F64187"/>
    <w:rsid w:val="00F64653"/>
    <w:rsid w:val="00F834B6"/>
    <w:rsid w:val="00FA0B81"/>
    <w:rsid w:val="00FB1533"/>
    <w:rsid w:val="00FB5BFA"/>
    <w:rsid w:val="00FB67A3"/>
    <w:rsid w:val="00FB6D3D"/>
    <w:rsid w:val="00FB7512"/>
    <w:rsid w:val="00FC0B8D"/>
    <w:rsid w:val="00FC53F6"/>
    <w:rsid w:val="00FD2FBE"/>
    <w:rsid w:val="00FD7547"/>
    <w:rsid w:val="00FF5F5C"/>
    <w:rsid w:val="0142545E"/>
    <w:rsid w:val="051FD9BA"/>
    <w:rsid w:val="0BDCE7BE"/>
    <w:rsid w:val="0CF8E646"/>
    <w:rsid w:val="0EE9E36C"/>
    <w:rsid w:val="0F147448"/>
    <w:rsid w:val="11A6C1D9"/>
    <w:rsid w:val="18D19AF7"/>
    <w:rsid w:val="1F6BE4B7"/>
    <w:rsid w:val="2173B431"/>
    <w:rsid w:val="26B9A804"/>
    <w:rsid w:val="287E716A"/>
    <w:rsid w:val="2914F20C"/>
    <w:rsid w:val="3612BA5A"/>
    <w:rsid w:val="41A3462B"/>
    <w:rsid w:val="43CA29CA"/>
    <w:rsid w:val="44269470"/>
    <w:rsid w:val="4B85097C"/>
    <w:rsid w:val="4C1903AE"/>
    <w:rsid w:val="4CDA0635"/>
    <w:rsid w:val="59E81319"/>
    <w:rsid w:val="5A0F58AA"/>
    <w:rsid w:val="5A4855F5"/>
    <w:rsid w:val="5E73C81B"/>
    <w:rsid w:val="5FFD9AD1"/>
    <w:rsid w:val="602FB847"/>
    <w:rsid w:val="62496626"/>
    <w:rsid w:val="62984091"/>
    <w:rsid w:val="642EF6D7"/>
    <w:rsid w:val="65CE98D0"/>
    <w:rsid w:val="6771A6DB"/>
    <w:rsid w:val="68ED2CD0"/>
    <w:rsid w:val="6BA980E5"/>
    <w:rsid w:val="6CA5CE84"/>
    <w:rsid w:val="6CAC4CD3"/>
    <w:rsid w:val="714A4C31"/>
    <w:rsid w:val="73565056"/>
    <w:rsid w:val="73D16C32"/>
    <w:rsid w:val="750C90B4"/>
    <w:rsid w:val="770C6779"/>
    <w:rsid w:val="79F7E9ED"/>
    <w:rsid w:val="7BACEB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489FE"/>
  <w15:docId w15:val="{7103BF40-7460-43AE-9F38-BA687D3E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0F7"/>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rPr>
      <w:rFonts w:asciiTheme="minorHAnsi" w:hAnsiTheme="minorHAnsi" w:cstheme="minorHAnsi"/>
      <w:b/>
      <w:bCs/>
      <w:caps/>
      <w:sz w:val="20"/>
      <w:szCs w:val="20"/>
    </w:rPr>
  </w:style>
  <w:style w:type="paragraph" w:styleId="TOC2">
    <w:name w:val="toc 2"/>
    <w:basedOn w:val="Normal"/>
    <w:next w:val="Normal"/>
    <w:autoRedefine/>
    <w:uiPriority w:val="39"/>
    <w:rsid w:val="00707A7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numPr>
        <w:numId w:val="3"/>
      </w:numPr>
    </w:pPr>
    <w:rPr>
      <w:rFonts w:eastAsia="Calibri"/>
      <w:szCs w:val="22"/>
      <w:lang w:bidi="ar-SA"/>
    </w:rPr>
  </w:style>
  <w:style w:type="paragraph" w:customStyle="1" w:styleId="FSBullet3">
    <w:name w:val="FSBullet 3"/>
    <w:basedOn w:val="Normal"/>
    <w:qFormat/>
    <w:locked/>
    <w:rsid w:val="00944BA4"/>
    <w:pPr>
      <w:keepNext/>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tabs>
        <w:tab w:val="left" w:pos="851"/>
      </w:tabs>
    </w:pPr>
    <w:rPr>
      <w:sz w:val="20"/>
      <w:szCs w:val="20"/>
      <w:lang w:bidi="ar-SA"/>
    </w:rPr>
  </w:style>
  <w:style w:type="paragraph" w:customStyle="1" w:styleId="FSCDraftingitemheading">
    <w:name w:val="FSC_Drafting_item_heading"/>
    <w:basedOn w:val="Normal"/>
    <w:qFormat/>
    <w:locked/>
    <w:rsid w:val="006E527D"/>
    <w:pPr>
      <w:ind w:left="851" w:hanging="851"/>
    </w:pPr>
    <w:rPr>
      <w:b/>
      <w:sz w:val="20"/>
      <w:szCs w:val="20"/>
      <w:lang w:bidi="ar-SA"/>
    </w:rPr>
  </w:style>
  <w:style w:type="paragraph" w:customStyle="1" w:styleId="FSCfooter">
    <w:name w:val="FSC_footer"/>
    <w:basedOn w:val="Normal"/>
    <w:locked/>
    <w:rsid w:val="006E527D"/>
    <w:pPr>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spacing w:before="80"/>
    </w:pPr>
    <w:rPr>
      <w:color w:val="7030A0"/>
      <w:lang w:eastAsia="en-AU" w:bidi="ar-SA"/>
    </w:rPr>
  </w:style>
  <w:style w:type="paragraph" w:customStyle="1" w:styleId="FSCoFooter">
    <w:name w:val="FSC_o_Footer"/>
    <w:basedOn w:val="Normal"/>
    <w:locked/>
    <w:rsid w:val="006E527D"/>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spacing w:after="60"/>
    </w:pPr>
    <w:rPr>
      <w:rFonts w:eastAsia="Calibri"/>
      <w:b/>
      <w:sz w:val="16"/>
      <w:szCs w:val="20"/>
      <w:lang w:eastAsia="en-AU" w:bidi="ar-SA"/>
    </w:rPr>
  </w:style>
  <w:style w:type="paragraph" w:customStyle="1" w:styleId="FSCtblAmendmain">
    <w:name w:val="FSC_tbl_Amend_main"/>
    <w:basedOn w:val="Normal"/>
    <w:qFormat/>
    <w:locked/>
    <w:rsid w:val="006E527D"/>
    <w:pPr>
      <w:ind w:left="113" w:hanging="113"/>
    </w:pPr>
    <w:rPr>
      <w:bCs/>
      <w:sz w:val="16"/>
      <w:szCs w:val="20"/>
      <w:lang w:bidi="ar-SA"/>
    </w:rPr>
  </w:style>
  <w:style w:type="paragraph" w:customStyle="1" w:styleId="FSCtblh2">
    <w:name w:val="FSC_tbl_h2"/>
    <w:basedOn w:val="Normal"/>
    <w:qFormat/>
    <w:locked/>
    <w:rsid w:val="006E527D"/>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spacing w:before="60" w:after="60"/>
    </w:pPr>
    <w:rPr>
      <w:rFonts w:cs="Arial"/>
      <w:i/>
      <w:sz w:val="18"/>
      <w:szCs w:val="22"/>
      <w:lang w:eastAsia="en-AU" w:bidi="ar-SA"/>
    </w:rPr>
  </w:style>
  <w:style w:type="paragraph" w:customStyle="1" w:styleId="FSCtblMain">
    <w:name w:val="FSC_tbl_Main"/>
    <w:basedOn w:val="Normal"/>
    <w:locked/>
    <w:rsid w:val="006E527D"/>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HeaderEPHFF-29062022-21358PM">
    <w:name w:val="HeaderEPHFF-29062022-21358 PM"/>
    <w:rsid w:val="008714FB"/>
    <w:pPr>
      <w:pBdr>
        <w:bottom w:val="single" w:sz="8" w:space="4" w:color="4F81BD"/>
      </w:pBdr>
      <w:spacing w:after="300"/>
      <w:contextualSpacing/>
    </w:pPr>
    <w:rPr>
      <w:rFonts w:ascii="Arial" w:hAnsi="Arial"/>
      <w:b/>
      <w:color w:val="76923C" w:themeColor="accent3" w:themeShade="BF"/>
      <w:spacing w:val="5"/>
      <w:kern w:val="28"/>
      <w:sz w:val="52"/>
      <w:szCs w:val="52"/>
      <w:lang w:eastAsia="en-US"/>
    </w:rPr>
  </w:style>
  <w:style w:type="character" w:customStyle="1" w:styleId="normaltextrun">
    <w:name w:val="normaltextrun"/>
    <w:basedOn w:val="DefaultParagraphFont"/>
    <w:rsid w:val="00E76118"/>
  </w:style>
  <w:style w:type="character" w:customStyle="1" w:styleId="eop">
    <w:name w:val="eop"/>
    <w:basedOn w:val="DefaultParagraphFont"/>
    <w:rsid w:val="00E76118"/>
  </w:style>
  <w:style w:type="paragraph" w:styleId="ListParagraph">
    <w:name w:val="List Paragraph"/>
    <w:basedOn w:val="Normal"/>
    <w:uiPriority w:val="34"/>
    <w:qFormat/>
    <w:rsid w:val="004132BC"/>
    <w:pPr>
      <w:widowControl w:val="0"/>
      <w:spacing w:before="0" w:after="0"/>
      <w:ind w:left="720"/>
      <w:contextualSpacing/>
    </w:pPr>
  </w:style>
  <w:style w:type="paragraph" w:customStyle="1" w:styleId="FooterFPHFF-9082022-21019PM">
    <w:name w:val="FooterFPHFF-9082022-21019 PM"/>
    <w:rsid w:val="001702FF"/>
    <w:pPr>
      <w:spacing w:after="200" w:line="276" w:lineRule="auto"/>
    </w:pPr>
    <w:rPr>
      <w:rFonts w:asciiTheme="minorHAnsi" w:eastAsiaTheme="minorHAnsi" w:hAnsiTheme="minorHAnsi" w:cstheme="minorBidi"/>
      <w:sz w:val="22"/>
      <w:szCs w:val="22"/>
      <w:lang w:eastAsia="en-US"/>
    </w:rPr>
  </w:style>
  <w:style w:type="table" w:customStyle="1" w:styleId="TableGrid2">
    <w:name w:val="Table Grid2"/>
    <w:basedOn w:val="TableNormal"/>
    <w:next w:val="TableGrid"/>
    <w:rsid w:val="006872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uiPriority w:val="99"/>
    <w:rsid w:val="00CD3964"/>
    <w:pPr>
      <w:spacing w:before="100" w:beforeAutospacing="1" w:after="100" w:afterAutospacing="1"/>
    </w:pPr>
    <w:rPr>
      <w:rFonts w:ascii="Times New Roman" w:eastAsiaTheme="minorHAnsi" w:hAnsi="Times New Roman"/>
      <w:sz w:val="24"/>
      <w:lang w:val="en-NZ" w:eastAsia="en-NZ" w:bidi="ar-SA"/>
    </w:rPr>
  </w:style>
  <w:style w:type="paragraph" w:customStyle="1" w:styleId="FooterPPHFF-23082022-122212PM">
    <w:name w:val="FooterPPHFF-23082022-122212 PM"/>
    <w:rsid w:val="007F1CF9"/>
    <w:rPr>
      <w:rFonts w:ascii="Arial" w:eastAsiaTheme="minorHAnsi" w:hAnsi="Arial" w:cstheme="minorBidi"/>
      <w:sz w:val="22"/>
      <w:szCs w:val="22"/>
      <w:lang w:eastAsia="en-US"/>
    </w:rPr>
  </w:style>
  <w:style w:type="paragraph" w:customStyle="1" w:styleId="HeaderFPHFF-30082022-81012AM">
    <w:name w:val="HeaderFPHFF-30082022-81012 AM"/>
    <w:rsid w:val="00C07477"/>
    <w:pPr>
      <w:spacing w:before="120" w:after="120" w:line="259" w:lineRule="auto"/>
    </w:pPr>
    <w:rPr>
      <w:rFonts w:ascii="Arial" w:hAnsi="Arial"/>
      <w:sz w:val="22"/>
      <w:szCs w:val="24"/>
      <w:lang w:eastAsia="en-US" w:bidi="en-US"/>
    </w:rPr>
  </w:style>
  <w:style w:type="paragraph" w:customStyle="1" w:styleId="FooterPPHFF-30082022-114342AM">
    <w:name w:val="FooterPPHFF-30082022-114342 AM"/>
    <w:rsid w:val="007634DB"/>
    <w:pPr>
      <w:spacing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381">
      <w:bodyDiv w:val="1"/>
      <w:marLeft w:val="0"/>
      <w:marRight w:val="0"/>
      <w:marTop w:val="0"/>
      <w:marBottom w:val="0"/>
      <w:divBdr>
        <w:top w:val="none" w:sz="0" w:space="0" w:color="auto"/>
        <w:left w:val="none" w:sz="0" w:space="0" w:color="auto"/>
        <w:bottom w:val="none" w:sz="0" w:space="0" w:color="auto"/>
        <w:right w:val="none" w:sz="0" w:space="0" w:color="auto"/>
      </w:divBdr>
    </w:div>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167789410">
      <w:bodyDiv w:val="1"/>
      <w:marLeft w:val="0"/>
      <w:marRight w:val="0"/>
      <w:marTop w:val="0"/>
      <w:marBottom w:val="0"/>
      <w:divBdr>
        <w:top w:val="none" w:sz="0" w:space="0" w:color="auto"/>
        <w:left w:val="none" w:sz="0" w:space="0" w:color="auto"/>
        <w:bottom w:val="none" w:sz="0" w:space="0" w:color="auto"/>
        <w:right w:val="none" w:sz="0" w:space="0" w:color="auto"/>
      </w:divBdr>
      <w:divsChild>
        <w:div w:id="18093644">
          <w:marLeft w:val="0"/>
          <w:marRight w:val="0"/>
          <w:marTop w:val="0"/>
          <w:marBottom w:val="0"/>
          <w:divBdr>
            <w:top w:val="none" w:sz="0" w:space="0" w:color="auto"/>
            <w:left w:val="none" w:sz="0" w:space="0" w:color="auto"/>
            <w:bottom w:val="none" w:sz="0" w:space="0" w:color="auto"/>
            <w:right w:val="none" w:sz="0" w:space="0" w:color="auto"/>
          </w:divBdr>
        </w:div>
        <w:div w:id="231739641">
          <w:marLeft w:val="0"/>
          <w:marRight w:val="0"/>
          <w:marTop w:val="0"/>
          <w:marBottom w:val="0"/>
          <w:divBdr>
            <w:top w:val="none" w:sz="0" w:space="0" w:color="auto"/>
            <w:left w:val="none" w:sz="0" w:space="0" w:color="auto"/>
            <w:bottom w:val="none" w:sz="0" w:space="0" w:color="auto"/>
            <w:right w:val="none" w:sz="0" w:space="0" w:color="auto"/>
          </w:divBdr>
        </w:div>
        <w:div w:id="292488956">
          <w:marLeft w:val="0"/>
          <w:marRight w:val="0"/>
          <w:marTop w:val="0"/>
          <w:marBottom w:val="0"/>
          <w:divBdr>
            <w:top w:val="none" w:sz="0" w:space="0" w:color="auto"/>
            <w:left w:val="none" w:sz="0" w:space="0" w:color="auto"/>
            <w:bottom w:val="none" w:sz="0" w:space="0" w:color="auto"/>
            <w:right w:val="none" w:sz="0" w:space="0" w:color="auto"/>
          </w:divBdr>
        </w:div>
        <w:div w:id="539175095">
          <w:marLeft w:val="0"/>
          <w:marRight w:val="0"/>
          <w:marTop w:val="0"/>
          <w:marBottom w:val="0"/>
          <w:divBdr>
            <w:top w:val="none" w:sz="0" w:space="0" w:color="auto"/>
            <w:left w:val="none" w:sz="0" w:space="0" w:color="auto"/>
            <w:bottom w:val="none" w:sz="0" w:space="0" w:color="auto"/>
            <w:right w:val="none" w:sz="0" w:space="0" w:color="auto"/>
          </w:divBdr>
        </w:div>
        <w:div w:id="608895669">
          <w:marLeft w:val="0"/>
          <w:marRight w:val="0"/>
          <w:marTop w:val="0"/>
          <w:marBottom w:val="0"/>
          <w:divBdr>
            <w:top w:val="none" w:sz="0" w:space="0" w:color="auto"/>
            <w:left w:val="none" w:sz="0" w:space="0" w:color="auto"/>
            <w:bottom w:val="none" w:sz="0" w:space="0" w:color="auto"/>
            <w:right w:val="none" w:sz="0" w:space="0" w:color="auto"/>
          </w:divBdr>
        </w:div>
        <w:div w:id="736048850">
          <w:marLeft w:val="0"/>
          <w:marRight w:val="0"/>
          <w:marTop w:val="0"/>
          <w:marBottom w:val="0"/>
          <w:divBdr>
            <w:top w:val="none" w:sz="0" w:space="0" w:color="auto"/>
            <w:left w:val="none" w:sz="0" w:space="0" w:color="auto"/>
            <w:bottom w:val="none" w:sz="0" w:space="0" w:color="auto"/>
            <w:right w:val="none" w:sz="0" w:space="0" w:color="auto"/>
          </w:divBdr>
        </w:div>
        <w:div w:id="907157312">
          <w:marLeft w:val="0"/>
          <w:marRight w:val="0"/>
          <w:marTop w:val="0"/>
          <w:marBottom w:val="0"/>
          <w:divBdr>
            <w:top w:val="none" w:sz="0" w:space="0" w:color="auto"/>
            <w:left w:val="none" w:sz="0" w:space="0" w:color="auto"/>
            <w:bottom w:val="none" w:sz="0" w:space="0" w:color="auto"/>
            <w:right w:val="none" w:sz="0" w:space="0" w:color="auto"/>
          </w:divBdr>
        </w:div>
        <w:div w:id="940600156">
          <w:marLeft w:val="0"/>
          <w:marRight w:val="0"/>
          <w:marTop w:val="0"/>
          <w:marBottom w:val="0"/>
          <w:divBdr>
            <w:top w:val="none" w:sz="0" w:space="0" w:color="auto"/>
            <w:left w:val="none" w:sz="0" w:space="0" w:color="auto"/>
            <w:bottom w:val="none" w:sz="0" w:space="0" w:color="auto"/>
            <w:right w:val="none" w:sz="0" w:space="0" w:color="auto"/>
          </w:divBdr>
          <w:divsChild>
            <w:div w:id="211815389">
              <w:marLeft w:val="0"/>
              <w:marRight w:val="0"/>
              <w:marTop w:val="0"/>
              <w:marBottom w:val="0"/>
              <w:divBdr>
                <w:top w:val="none" w:sz="0" w:space="0" w:color="auto"/>
                <w:left w:val="none" w:sz="0" w:space="0" w:color="auto"/>
                <w:bottom w:val="none" w:sz="0" w:space="0" w:color="auto"/>
                <w:right w:val="none" w:sz="0" w:space="0" w:color="auto"/>
              </w:divBdr>
            </w:div>
            <w:div w:id="1291129823">
              <w:marLeft w:val="0"/>
              <w:marRight w:val="0"/>
              <w:marTop w:val="0"/>
              <w:marBottom w:val="0"/>
              <w:divBdr>
                <w:top w:val="none" w:sz="0" w:space="0" w:color="auto"/>
                <w:left w:val="none" w:sz="0" w:space="0" w:color="auto"/>
                <w:bottom w:val="none" w:sz="0" w:space="0" w:color="auto"/>
                <w:right w:val="none" w:sz="0" w:space="0" w:color="auto"/>
              </w:divBdr>
            </w:div>
            <w:div w:id="1426226781">
              <w:marLeft w:val="0"/>
              <w:marRight w:val="0"/>
              <w:marTop w:val="0"/>
              <w:marBottom w:val="0"/>
              <w:divBdr>
                <w:top w:val="none" w:sz="0" w:space="0" w:color="auto"/>
                <w:left w:val="none" w:sz="0" w:space="0" w:color="auto"/>
                <w:bottom w:val="none" w:sz="0" w:space="0" w:color="auto"/>
                <w:right w:val="none" w:sz="0" w:space="0" w:color="auto"/>
              </w:divBdr>
            </w:div>
            <w:div w:id="1842769959">
              <w:marLeft w:val="0"/>
              <w:marRight w:val="0"/>
              <w:marTop w:val="0"/>
              <w:marBottom w:val="0"/>
              <w:divBdr>
                <w:top w:val="none" w:sz="0" w:space="0" w:color="auto"/>
                <w:left w:val="none" w:sz="0" w:space="0" w:color="auto"/>
                <w:bottom w:val="none" w:sz="0" w:space="0" w:color="auto"/>
                <w:right w:val="none" w:sz="0" w:space="0" w:color="auto"/>
              </w:divBdr>
            </w:div>
          </w:divsChild>
        </w:div>
        <w:div w:id="1043361946">
          <w:marLeft w:val="0"/>
          <w:marRight w:val="0"/>
          <w:marTop w:val="0"/>
          <w:marBottom w:val="0"/>
          <w:divBdr>
            <w:top w:val="none" w:sz="0" w:space="0" w:color="auto"/>
            <w:left w:val="none" w:sz="0" w:space="0" w:color="auto"/>
            <w:bottom w:val="none" w:sz="0" w:space="0" w:color="auto"/>
            <w:right w:val="none" w:sz="0" w:space="0" w:color="auto"/>
          </w:divBdr>
        </w:div>
        <w:div w:id="1048335064">
          <w:marLeft w:val="0"/>
          <w:marRight w:val="0"/>
          <w:marTop w:val="0"/>
          <w:marBottom w:val="0"/>
          <w:divBdr>
            <w:top w:val="none" w:sz="0" w:space="0" w:color="auto"/>
            <w:left w:val="none" w:sz="0" w:space="0" w:color="auto"/>
            <w:bottom w:val="none" w:sz="0" w:space="0" w:color="auto"/>
            <w:right w:val="none" w:sz="0" w:space="0" w:color="auto"/>
          </w:divBdr>
        </w:div>
        <w:div w:id="1361009330">
          <w:marLeft w:val="0"/>
          <w:marRight w:val="0"/>
          <w:marTop w:val="0"/>
          <w:marBottom w:val="0"/>
          <w:divBdr>
            <w:top w:val="none" w:sz="0" w:space="0" w:color="auto"/>
            <w:left w:val="none" w:sz="0" w:space="0" w:color="auto"/>
            <w:bottom w:val="none" w:sz="0" w:space="0" w:color="auto"/>
            <w:right w:val="none" w:sz="0" w:space="0" w:color="auto"/>
          </w:divBdr>
        </w:div>
        <w:div w:id="1480997348">
          <w:marLeft w:val="0"/>
          <w:marRight w:val="0"/>
          <w:marTop w:val="0"/>
          <w:marBottom w:val="0"/>
          <w:divBdr>
            <w:top w:val="none" w:sz="0" w:space="0" w:color="auto"/>
            <w:left w:val="none" w:sz="0" w:space="0" w:color="auto"/>
            <w:bottom w:val="none" w:sz="0" w:space="0" w:color="auto"/>
            <w:right w:val="none" w:sz="0" w:space="0" w:color="auto"/>
          </w:divBdr>
        </w:div>
        <w:div w:id="1684239221">
          <w:marLeft w:val="0"/>
          <w:marRight w:val="0"/>
          <w:marTop w:val="0"/>
          <w:marBottom w:val="0"/>
          <w:divBdr>
            <w:top w:val="none" w:sz="0" w:space="0" w:color="auto"/>
            <w:left w:val="none" w:sz="0" w:space="0" w:color="auto"/>
            <w:bottom w:val="none" w:sz="0" w:space="0" w:color="auto"/>
            <w:right w:val="none" w:sz="0" w:space="0" w:color="auto"/>
          </w:divBdr>
        </w:div>
        <w:div w:id="1730687757">
          <w:marLeft w:val="0"/>
          <w:marRight w:val="0"/>
          <w:marTop w:val="0"/>
          <w:marBottom w:val="0"/>
          <w:divBdr>
            <w:top w:val="none" w:sz="0" w:space="0" w:color="auto"/>
            <w:left w:val="none" w:sz="0" w:space="0" w:color="auto"/>
            <w:bottom w:val="none" w:sz="0" w:space="0" w:color="auto"/>
            <w:right w:val="none" w:sz="0" w:space="0" w:color="auto"/>
          </w:divBdr>
        </w:div>
        <w:div w:id="1919973224">
          <w:marLeft w:val="0"/>
          <w:marRight w:val="0"/>
          <w:marTop w:val="0"/>
          <w:marBottom w:val="0"/>
          <w:divBdr>
            <w:top w:val="none" w:sz="0" w:space="0" w:color="auto"/>
            <w:left w:val="none" w:sz="0" w:space="0" w:color="auto"/>
            <w:bottom w:val="none" w:sz="0" w:space="0" w:color="auto"/>
            <w:right w:val="none" w:sz="0" w:space="0" w:color="auto"/>
          </w:divBdr>
          <w:divsChild>
            <w:div w:id="598833655">
              <w:marLeft w:val="0"/>
              <w:marRight w:val="0"/>
              <w:marTop w:val="0"/>
              <w:marBottom w:val="0"/>
              <w:divBdr>
                <w:top w:val="none" w:sz="0" w:space="0" w:color="auto"/>
                <w:left w:val="none" w:sz="0" w:space="0" w:color="auto"/>
                <w:bottom w:val="none" w:sz="0" w:space="0" w:color="auto"/>
                <w:right w:val="none" w:sz="0" w:space="0" w:color="auto"/>
              </w:divBdr>
            </w:div>
            <w:div w:id="930626200">
              <w:marLeft w:val="0"/>
              <w:marRight w:val="0"/>
              <w:marTop w:val="0"/>
              <w:marBottom w:val="0"/>
              <w:divBdr>
                <w:top w:val="none" w:sz="0" w:space="0" w:color="auto"/>
                <w:left w:val="none" w:sz="0" w:space="0" w:color="auto"/>
                <w:bottom w:val="none" w:sz="0" w:space="0" w:color="auto"/>
                <w:right w:val="none" w:sz="0" w:space="0" w:color="auto"/>
              </w:divBdr>
            </w:div>
            <w:div w:id="2050257921">
              <w:marLeft w:val="0"/>
              <w:marRight w:val="0"/>
              <w:marTop w:val="0"/>
              <w:marBottom w:val="0"/>
              <w:divBdr>
                <w:top w:val="none" w:sz="0" w:space="0" w:color="auto"/>
                <w:left w:val="none" w:sz="0" w:space="0" w:color="auto"/>
                <w:bottom w:val="none" w:sz="0" w:space="0" w:color="auto"/>
                <w:right w:val="none" w:sz="0" w:space="0" w:color="auto"/>
              </w:divBdr>
            </w:div>
          </w:divsChild>
        </w:div>
        <w:div w:id="2002004021">
          <w:marLeft w:val="0"/>
          <w:marRight w:val="0"/>
          <w:marTop w:val="0"/>
          <w:marBottom w:val="0"/>
          <w:divBdr>
            <w:top w:val="none" w:sz="0" w:space="0" w:color="auto"/>
            <w:left w:val="none" w:sz="0" w:space="0" w:color="auto"/>
            <w:bottom w:val="none" w:sz="0" w:space="0" w:color="auto"/>
            <w:right w:val="none" w:sz="0" w:space="0" w:color="auto"/>
          </w:divBdr>
        </w:div>
        <w:div w:id="2147043905">
          <w:marLeft w:val="0"/>
          <w:marRight w:val="0"/>
          <w:marTop w:val="0"/>
          <w:marBottom w:val="0"/>
          <w:divBdr>
            <w:top w:val="none" w:sz="0" w:space="0" w:color="auto"/>
            <w:left w:val="none" w:sz="0" w:space="0" w:color="auto"/>
            <w:bottom w:val="none" w:sz="0" w:space="0" w:color="auto"/>
            <w:right w:val="none" w:sz="0" w:space="0" w:color="auto"/>
          </w:divBdr>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21530918">
      <w:bodyDiv w:val="1"/>
      <w:marLeft w:val="0"/>
      <w:marRight w:val="0"/>
      <w:marTop w:val="0"/>
      <w:marBottom w:val="0"/>
      <w:divBdr>
        <w:top w:val="none" w:sz="0" w:space="0" w:color="auto"/>
        <w:left w:val="none" w:sz="0" w:space="0" w:color="auto"/>
        <w:bottom w:val="none" w:sz="0" w:space="0" w:color="auto"/>
        <w:right w:val="none" w:sz="0" w:space="0" w:color="auto"/>
      </w:divBdr>
      <w:divsChild>
        <w:div w:id="9456044">
          <w:marLeft w:val="0"/>
          <w:marRight w:val="0"/>
          <w:marTop w:val="0"/>
          <w:marBottom w:val="0"/>
          <w:divBdr>
            <w:top w:val="none" w:sz="0" w:space="0" w:color="auto"/>
            <w:left w:val="none" w:sz="0" w:space="0" w:color="auto"/>
            <w:bottom w:val="none" w:sz="0" w:space="0" w:color="auto"/>
            <w:right w:val="none" w:sz="0" w:space="0" w:color="auto"/>
          </w:divBdr>
        </w:div>
        <w:div w:id="339435244">
          <w:marLeft w:val="0"/>
          <w:marRight w:val="0"/>
          <w:marTop w:val="0"/>
          <w:marBottom w:val="0"/>
          <w:divBdr>
            <w:top w:val="none" w:sz="0" w:space="0" w:color="auto"/>
            <w:left w:val="none" w:sz="0" w:space="0" w:color="auto"/>
            <w:bottom w:val="none" w:sz="0" w:space="0" w:color="auto"/>
            <w:right w:val="none" w:sz="0" w:space="0" w:color="auto"/>
          </w:divBdr>
        </w:div>
        <w:div w:id="648482692">
          <w:marLeft w:val="0"/>
          <w:marRight w:val="0"/>
          <w:marTop w:val="0"/>
          <w:marBottom w:val="0"/>
          <w:divBdr>
            <w:top w:val="none" w:sz="0" w:space="0" w:color="auto"/>
            <w:left w:val="none" w:sz="0" w:space="0" w:color="auto"/>
            <w:bottom w:val="none" w:sz="0" w:space="0" w:color="auto"/>
            <w:right w:val="none" w:sz="0" w:space="0" w:color="auto"/>
          </w:divBdr>
        </w:div>
        <w:div w:id="801193275">
          <w:marLeft w:val="0"/>
          <w:marRight w:val="0"/>
          <w:marTop w:val="0"/>
          <w:marBottom w:val="0"/>
          <w:divBdr>
            <w:top w:val="none" w:sz="0" w:space="0" w:color="auto"/>
            <w:left w:val="none" w:sz="0" w:space="0" w:color="auto"/>
            <w:bottom w:val="none" w:sz="0" w:space="0" w:color="auto"/>
            <w:right w:val="none" w:sz="0" w:space="0" w:color="auto"/>
          </w:divBdr>
        </w:div>
        <w:div w:id="810558894">
          <w:marLeft w:val="0"/>
          <w:marRight w:val="0"/>
          <w:marTop w:val="0"/>
          <w:marBottom w:val="0"/>
          <w:divBdr>
            <w:top w:val="none" w:sz="0" w:space="0" w:color="auto"/>
            <w:left w:val="none" w:sz="0" w:space="0" w:color="auto"/>
            <w:bottom w:val="none" w:sz="0" w:space="0" w:color="auto"/>
            <w:right w:val="none" w:sz="0" w:space="0" w:color="auto"/>
          </w:divBdr>
        </w:div>
        <w:div w:id="816914892">
          <w:marLeft w:val="0"/>
          <w:marRight w:val="0"/>
          <w:marTop w:val="0"/>
          <w:marBottom w:val="0"/>
          <w:divBdr>
            <w:top w:val="none" w:sz="0" w:space="0" w:color="auto"/>
            <w:left w:val="none" w:sz="0" w:space="0" w:color="auto"/>
            <w:bottom w:val="none" w:sz="0" w:space="0" w:color="auto"/>
            <w:right w:val="none" w:sz="0" w:space="0" w:color="auto"/>
          </w:divBdr>
        </w:div>
        <w:div w:id="914434167">
          <w:marLeft w:val="0"/>
          <w:marRight w:val="0"/>
          <w:marTop w:val="0"/>
          <w:marBottom w:val="0"/>
          <w:divBdr>
            <w:top w:val="none" w:sz="0" w:space="0" w:color="auto"/>
            <w:left w:val="none" w:sz="0" w:space="0" w:color="auto"/>
            <w:bottom w:val="none" w:sz="0" w:space="0" w:color="auto"/>
            <w:right w:val="none" w:sz="0" w:space="0" w:color="auto"/>
          </w:divBdr>
        </w:div>
        <w:div w:id="927543389">
          <w:marLeft w:val="0"/>
          <w:marRight w:val="0"/>
          <w:marTop w:val="0"/>
          <w:marBottom w:val="0"/>
          <w:divBdr>
            <w:top w:val="none" w:sz="0" w:space="0" w:color="auto"/>
            <w:left w:val="none" w:sz="0" w:space="0" w:color="auto"/>
            <w:bottom w:val="none" w:sz="0" w:space="0" w:color="auto"/>
            <w:right w:val="none" w:sz="0" w:space="0" w:color="auto"/>
          </w:divBdr>
        </w:div>
        <w:div w:id="982660274">
          <w:marLeft w:val="0"/>
          <w:marRight w:val="0"/>
          <w:marTop w:val="0"/>
          <w:marBottom w:val="0"/>
          <w:divBdr>
            <w:top w:val="none" w:sz="0" w:space="0" w:color="auto"/>
            <w:left w:val="none" w:sz="0" w:space="0" w:color="auto"/>
            <w:bottom w:val="none" w:sz="0" w:space="0" w:color="auto"/>
            <w:right w:val="none" w:sz="0" w:space="0" w:color="auto"/>
          </w:divBdr>
        </w:div>
        <w:div w:id="1210651609">
          <w:marLeft w:val="0"/>
          <w:marRight w:val="0"/>
          <w:marTop w:val="0"/>
          <w:marBottom w:val="0"/>
          <w:divBdr>
            <w:top w:val="none" w:sz="0" w:space="0" w:color="auto"/>
            <w:left w:val="none" w:sz="0" w:space="0" w:color="auto"/>
            <w:bottom w:val="none" w:sz="0" w:space="0" w:color="auto"/>
            <w:right w:val="none" w:sz="0" w:space="0" w:color="auto"/>
          </w:divBdr>
        </w:div>
        <w:div w:id="1248003137">
          <w:marLeft w:val="0"/>
          <w:marRight w:val="0"/>
          <w:marTop w:val="0"/>
          <w:marBottom w:val="0"/>
          <w:divBdr>
            <w:top w:val="none" w:sz="0" w:space="0" w:color="auto"/>
            <w:left w:val="none" w:sz="0" w:space="0" w:color="auto"/>
            <w:bottom w:val="none" w:sz="0" w:space="0" w:color="auto"/>
            <w:right w:val="none" w:sz="0" w:space="0" w:color="auto"/>
          </w:divBdr>
        </w:div>
        <w:div w:id="1305281324">
          <w:marLeft w:val="0"/>
          <w:marRight w:val="0"/>
          <w:marTop w:val="0"/>
          <w:marBottom w:val="0"/>
          <w:divBdr>
            <w:top w:val="none" w:sz="0" w:space="0" w:color="auto"/>
            <w:left w:val="none" w:sz="0" w:space="0" w:color="auto"/>
            <w:bottom w:val="none" w:sz="0" w:space="0" w:color="auto"/>
            <w:right w:val="none" w:sz="0" w:space="0" w:color="auto"/>
          </w:divBdr>
          <w:divsChild>
            <w:div w:id="363600329">
              <w:marLeft w:val="0"/>
              <w:marRight w:val="0"/>
              <w:marTop w:val="0"/>
              <w:marBottom w:val="0"/>
              <w:divBdr>
                <w:top w:val="none" w:sz="0" w:space="0" w:color="auto"/>
                <w:left w:val="none" w:sz="0" w:space="0" w:color="auto"/>
                <w:bottom w:val="none" w:sz="0" w:space="0" w:color="auto"/>
                <w:right w:val="none" w:sz="0" w:space="0" w:color="auto"/>
              </w:divBdr>
            </w:div>
            <w:div w:id="1168331844">
              <w:marLeft w:val="0"/>
              <w:marRight w:val="0"/>
              <w:marTop w:val="0"/>
              <w:marBottom w:val="0"/>
              <w:divBdr>
                <w:top w:val="none" w:sz="0" w:space="0" w:color="auto"/>
                <w:left w:val="none" w:sz="0" w:space="0" w:color="auto"/>
                <w:bottom w:val="none" w:sz="0" w:space="0" w:color="auto"/>
                <w:right w:val="none" w:sz="0" w:space="0" w:color="auto"/>
              </w:divBdr>
            </w:div>
            <w:div w:id="1329678376">
              <w:marLeft w:val="0"/>
              <w:marRight w:val="0"/>
              <w:marTop w:val="0"/>
              <w:marBottom w:val="0"/>
              <w:divBdr>
                <w:top w:val="none" w:sz="0" w:space="0" w:color="auto"/>
                <w:left w:val="none" w:sz="0" w:space="0" w:color="auto"/>
                <w:bottom w:val="none" w:sz="0" w:space="0" w:color="auto"/>
                <w:right w:val="none" w:sz="0" w:space="0" w:color="auto"/>
              </w:divBdr>
            </w:div>
            <w:div w:id="2104572839">
              <w:marLeft w:val="0"/>
              <w:marRight w:val="0"/>
              <w:marTop w:val="0"/>
              <w:marBottom w:val="0"/>
              <w:divBdr>
                <w:top w:val="none" w:sz="0" w:space="0" w:color="auto"/>
                <w:left w:val="none" w:sz="0" w:space="0" w:color="auto"/>
                <w:bottom w:val="none" w:sz="0" w:space="0" w:color="auto"/>
                <w:right w:val="none" w:sz="0" w:space="0" w:color="auto"/>
              </w:divBdr>
            </w:div>
          </w:divsChild>
        </w:div>
        <w:div w:id="1628579989">
          <w:marLeft w:val="0"/>
          <w:marRight w:val="0"/>
          <w:marTop w:val="0"/>
          <w:marBottom w:val="0"/>
          <w:divBdr>
            <w:top w:val="none" w:sz="0" w:space="0" w:color="auto"/>
            <w:left w:val="none" w:sz="0" w:space="0" w:color="auto"/>
            <w:bottom w:val="none" w:sz="0" w:space="0" w:color="auto"/>
            <w:right w:val="none" w:sz="0" w:space="0" w:color="auto"/>
          </w:divBdr>
        </w:div>
        <w:div w:id="1661081491">
          <w:marLeft w:val="0"/>
          <w:marRight w:val="0"/>
          <w:marTop w:val="0"/>
          <w:marBottom w:val="0"/>
          <w:divBdr>
            <w:top w:val="none" w:sz="0" w:space="0" w:color="auto"/>
            <w:left w:val="none" w:sz="0" w:space="0" w:color="auto"/>
            <w:bottom w:val="none" w:sz="0" w:space="0" w:color="auto"/>
            <w:right w:val="none" w:sz="0" w:space="0" w:color="auto"/>
          </w:divBdr>
          <w:divsChild>
            <w:div w:id="875000929">
              <w:marLeft w:val="0"/>
              <w:marRight w:val="0"/>
              <w:marTop w:val="0"/>
              <w:marBottom w:val="0"/>
              <w:divBdr>
                <w:top w:val="none" w:sz="0" w:space="0" w:color="auto"/>
                <w:left w:val="none" w:sz="0" w:space="0" w:color="auto"/>
                <w:bottom w:val="none" w:sz="0" w:space="0" w:color="auto"/>
                <w:right w:val="none" w:sz="0" w:space="0" w:color="auto"/>
              </w:divBdr>
            </w:div>
            <w:div w:id="1693725427">
              <w:marLeft w:val="0"/>
              <w:marRight w:val="0"/>
              <w:marTop w:val="0"/>
              <w:marBottom w:val="0"/>
              <w:divBdr>
                <w:top w:val="none" w:sz="0" w:space="0" w:color="auto"/>
                <w:left w:val="none" w:sz="0" w:space="0" w:color="auto"/>
                <w:bottom w:val="none" w:sz="0" w:space="0" w:color="auto"/>
                <w:right w:val="none" w:sz="0" w:space="0" w:color="auto"/>
              </w:divBdr>
            </w:div>
            <w:div w:id="1938439168">
              <w:marLeft w:val="0"/>
              <w:marRight w:val="0"/>
              <w:marTop w:val="0"/>
              <w:marBottom w:val="0"/>
              <w:divBdr>
                <w:top w:val="none" w:sz="0" w:space="0" w:color="auto"/>
                <w:left w:val="none" w:sz="0" w:space="0" w:color="auto"/>
                <w:bottom w:val="none" w:sz="0" w:space="0" w:color="auto"/>
                <w:right w:val="none" w:sz="0" w:space="0" w:color="auto"/>
              </w:divBdr>
            </w:div>
          </w:divsChild>
        </w:div>
        <w:div w:id="1679389282">
          <w:marLeft w:val="0"/>
          <w:marRight w:val="0"/>
          <w:marTop w:val="0"/>
          <w:marBottom w:val="0"/>
          <w:divBdr>
            <w:top w:val="none" w:sz="0" w:space="0" w:color="auto"/>
            <w:left w:val="none" w:sz="0" w:space="0" w:color="auto"/>
            <w:bottom w:val="none" w:sz="0" w:space="0" w:color="auto"/>
            <w:right w:val="none" w:sz="0" w:space="0" w:color="auto"/>
          </w:divBdr>
        </w:div>
        <w:div w:id="1697461356">
          <w:marLeft w:val="0"/>
          <w:marRight w:val="0"/>
          <w:marTop w:val="0"/>
          <w:marBottom w:val="0"/>
          <w:divBdr>
            <w:top w:val="none" w:sz="0" w:space="0" w:color="auto"/>
            <w:left w:val="none" w:sz="0" w:space="0" w:color="auto"/>
            <w:bottom w:val="none" w:sz="0" w:space="0" w:color="auto"/>
            <w:right w:val="none" w:sz="0" w:space="0" w:color="auto"/>
          </w:divBdr>
        </w:div>
        <w:div w:id="1793860959">
          <w:marLeft w:val="0"/>
          <w:marRight w:val="0"/>
          <w:marTop w:val="0"/>
          <w:marBottom w:val="0"/>
          <w:divBdr>
            <w:top w:val="none" w:sz="0" w:space="0" w:color="auto"/>
            <w:left w:val="none" w:sz="0" w:space="0" w:color="auto"/>
            <w:bottom w:val="none" w:sz="0" w:space="0" w:color="auto"/>
            <w:right w:val="none" w:sz="0" w:space="0" w:color="auto"/>
          </w:divBdr>
        </w:div>
      </w:divsChild>
    </w:div>
    <w:div w:id="65700160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s://iubmb.qmul.ac.uk/enzyme/EC3/2/1/1.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hyperlink" Target="https://www.foodstandards.gov.au/code/applications/Pages/A1255---Alpha-amylase-from-GM-Bacillus-subtilis-as-a-processing-aid-.aspx"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eader" Target="header3.xml"/><Relationship Id="rId28" Type="http://schemas.openxmlformats.org/officeDocument/2006/relationships/hyperlink" Target="http://publications.usp.org/"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hyperlink" Target="http://www.legislation.gov.au" TargetMode="Externa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2.xml"/><Relationship Id="rId27"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A66E-CD8C-4A71-BF81-945D63A43441}"/>
</file>

<file path=customXml/itemProps2.xml><?xml version="1.0" encoding="utf-8"?>
<ds:datastoreItem xmlns:ds="http://schemas.openxmlformats.org/officeDocument/2006/customXml" ds:itemID="{0E1690AC-11C1-4EDA-B6C4-25F35AE7DFBF}"/>
</file>

<file path=customXml/itemProps3.xml><?xml version="1.0" encoding="utf-8"?>
<ds:datastoreItem xmlns:ds="http://schemas.openxmlformats.org/officeDocument/2006/customXml" ds:itemID="{3A10FA6E-0B26-43C2-9D68-F35B0093F7E2}"/>
</file>

<file path=customXml/itemProps4.xml><?xml version="1.0" encoding="utf-8"?>
<ds:datastoreItem xmlns:ds="http://schemas.openxmlformats.org/officeDocument/2006/customXml" ds:itemID="{33D28449-8C14-4797-A837-F36F66F1400D}">
  <ds:schemaRefs>
    <ds:schemaRef ds:uri="http://schemas.openxmlformats.org/officeDocument/2006/bibliography"/>
  </ds:schemaRefs>
</ds:datastoreItem>
</file>

<file path=customXml/itemProps5.xml><?xml version="1.0" encoding="utf-8"?>
<ds:datastoreItem xmlns:ds="http://schemas.openxmlformats.org/officeDocument/2006/customXml" ds:itemID="{B90FC8B9-0230-40C2-B3BE-8A30E310FA10}"/>
</file>

<file path=customXml/itemProps6.xml><?xml version="1.0" encoding="utf-8"?>
<ds:datastoreItem xmlns:ds="http://schemas.openxmlformats.org/officeDocument/2006/customXml" ds:itemID="{33D28449-8C14-4797-A837-F36F66F1400D}"/>
</file>

<file path=docProps/app.xml><?xml version="1.0" encoding="utf-8"?>
<Properties xmlns="http://schemas.openxmlformats.org/officeDocument/2006/extended-properties" xmlns:vt="http://schemas.openxmlformats.org/officeDocument/2006/docPropsVTypes">
  <Template>Normal</Template>
  <TotalTime>3</TotalTime>
  <Pages>17</Pages>
  <Words>6086</Words>
  <Characters>34691</Characters>
  <Application>Microsoft Office Word</Application>
  <DocSecurity>0</DocSecurity>
  <Lines>289</Lines>
  <Paragraphs>81</Paragraphs>
  <ScaleCrop>false</ScaleCrop>
  <Company>ANZFA</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AbbsJo</dc:creator>
  <cp:keywords/>
  <dc:description/>
  <cp:lastModifiedBy>Tailee Vecchi</cp:lastModifiedBy>
  <cp:revision>114</cp:revision>
  <cp:lastPrinted>2012-03-28T12:36:00Z</cp:lastPrinted>
  <dcterms:created xsi:type="dcterms:W3CDTF">2022-06-30T16:01:00Z</dcterms:created>
  <dcterms:modified xsi:type="dcterms:W3CDTF">2022-10-13T22:17:00Z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851a971d-1bd6-4ba8-a3b5-d795c2110ee7</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bjClsUserRVM">
    <vt:lpwstr>[]</vt:lpwstr>
  </property>
  <property fmtid="{D5CDD505-2E9C-101B-9397-08002B2CF9AE}" pid="19" name="m5a168ed04b248b3bef91ad6e7b635a1">
    <vt:lpwstr>OFFICIAL|3776503d-ed4e-4d70-8dfd-8e17b238523b</vt:lpwstr>
  </property>
  <property fmtid="{D5CDD505-2E9C-101B-9397-08002B2CF9AE}" pid="20" name="TaxCatchAll">
    <vt:lpwstr>2;#Evaluation|43cb9915-dbd2-4e45-b39d-7bc5c58c72da;#1;#OFFICIAL|3776503d-ed4e-4d70-8dfd-8e17b238523b</vt:lpwstr>
  </property>
  <property fmtid="{D5CDD505-2E9C-101B-9397-08002B2CF9AE}" pid="21" name="pd3a3559ef84480a8025c4c7bb6e6dee">
    <vt:lpwstr/>
  </property>
  <property fmtid="{D5CDD505-2E9C-101B-9397-08002B2CF9AE}" pid="22" name="h46016694f704d158a57d0b5238c000e">
    <vt:lpwstr/>
  </property>
  <property fmtid="{D5CDD505-2E9C-101B-9397-08002B2CF9AE}" pid="23" name="Data_x0020_Privacy">
    <vt:lpwstr/>
  </property>
  <property fmtid="{D5CDD505-2E9C-101B-9397-08002B2CF9AE}" pid="24" name="BCS">
    <vt:lpwstr>2;#Evaluation|43cb9915-dbd2-4e45-b39d-7bc5c58c72da</vt:lpwstr>
  </property>
  <property fmtid="{D5CDD505-2E9C-101B-9397-08002B2CF9AE}" pid="25" name="jf6c16bbf41b473ebe1e583d28d77907">
    <vt:lpwstr/>
  </property>
  <property fmtid="{D5CDD505-2E9C-101B-9397-08002B2CF9AE}" pid="26" name="Access">
    <vt:lpwstr/>
  </property>
  <property fmtid="{D5CDD505-2E9C-101B-9397-08002B2CF9AE}" pid="27" name="Data_x0020_Category">
    <vt:lpwstr/>
  </property>
  <property fmtid="{D5CDD505-2E9C-101B-9397-08002B2CF9AE}" pid="28" name="Classification">
    <vt:lpwstr>1;#OFFICIAL|3776503d-ed4e-4d70-8dfd-8e17b238523b</vt:lpwstr>
  </property>
  <property fmtid="{D5CDD505-2E9C-101B-9397-08002B2CF9AE}" pid="29" name="Data_x0020_Accessibility">
    <vt:lpwstr/>
  </property>
  <property fmtid="{D5CDD505-2E9C-101B-9397-08002B2CF9AE}" pid="30" name="o2e94e0b7bb742308b3aec7384781dc0">
    <vt:lpwstr/>
  </property>
  <property fmtid="{D5CDD505-2E9C-101B-9397-08002B2CF9AE}" pid="31" name="pb940a55b18746cdbb1d76ca362c0586">
    <vt:lpwstr>Evaluation|43cb9915-dbd2-4e45-b39d-7bc5c58c72da</vt:lpwstr>
  </property>
  <property fmtid="{D5CDD505-2E9C-101B-9397-08002B2CF9AE}" pid="32" name="Data Privacy">
    <vt:lpwstr/>
  </property>
  <property fmtid="{D5CDD505-2E9C-101B-9397-08002B2CF9AE}" pid="33" name="Data Category">
    <vt:lpwstr/>
  </property>
  <property fmtid="{D5CDD505-2E9C-101B-9397-08002B2CF9AE}" pid="34" name="Data Accessibility">
    <vt:lpwstr/>
  </property>
</Properties>
</file>